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BA926">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14:paraId="350ABF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阿坝州林业中心医院</w:t>
      </w:r>
    </w:p>
    <w:p w14:paraId="23B2C954">
      <w:pPr>
        <w:keepNext w:val="0"/>
        <w:keepLines w:val="0"/>
        <w:pageBreakBefore w:val="0"/>
        <w:kinsoku/>
        <w:wordWrap/>
        <w:overflowPunct/>
        <w:topLinePunct w:val="0"/>
        <w:autoSpaceDE/>
        <w:autoSpaceDN/>
        <w:bidi w:val="0"/>
        <w:adjustRightInd/>
        <w:snapToGrid/>
        <w:spacing w:line="480" w:lineRule="exact"/>
        <w:ind w:firstLine="640" w:firstLineChars="200"/>
        <w:jc w:val="center"/>
        <w:textAlignment w:val="auto"/>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rPr>
        <w:t>内部控制</w:t>
      </w:r>
      <w:r>
        <w:rPr>
          <w:rFonts w:hint="eastAsia" w:ascii="黑体" w:hAnsi="黑体" w:eastAsia="黑体" w:cs="黑体"/>
          <w:b w:val="0"/>
          <w:bCs w:val="0"/>
          <w:sz w:val="32"/>
          <w:szCs w:val="32"/>
          <w:lang w:val="en-US" w:eastAsia="zh-CN"/>
        </w:rPr>
        <w:t>建设</w:t>
      </w:r>
      <w:r>
        <w:rPr>
          <w:rFonts w:hint="eastAsia" w:ascii="黑体" w:hAnsi="黑体" w:eastAsia="黑体" w:cs="黑体"/>
          <w:b w:val="0"/>
          <w:bCs w:val="0"/>
          <w:sz w:val="32"/>
          <w:szCs w:val="32"/>
        </w:rPr>
        <w:t>咨询服务采购项目市场调研</w:t>
      </w:r>
      <w:r>
        <w:rPr>
          <w:rFonts w:hint="eastAsia" w:ascii="黑体" w:hAnsi="黑体" w:eastAsia="黑体" w:cs="黑体"/>
          <w:b w:val="0"/>
          <w:bCs w:val="0"/>
          <w:sz w:val="32"/>
          <w:szCs w:val="32"/>
          <w:lang w:val="en-US" w:eastAsia="zh-CN"/>
        </w:rPr>
        <w:t>需求</w:t>
      </w:r>
    </w:p>
    <w:bookmarkEnd w:id="0"/>
    <w:p w14:paraId="430902C6">
      <w:pPr>
        <w:pStyle w:val="3"/>
        <w:keepNext w:val="0"/>
        <w:keepLines w:val="0"/>
        <w:pageBreakBefore w:val="0"/>
        <w:numPr>
          <w:ilvl w:val="3"/>
          <w:numId w:val="0"/>
        </w:numPr>
        <w:kinsoku/>
        <w:wordWrap/>
        <w:overflowPunct/>
        <w:topLinePunct w:val="0"/>
        <w:autoSpaceDE/>
        <w:autoSpaceDN/>
        <w:bidi w:val="0"/>
        <w:snapToGrid/>
        <w:spacing w:line="480" w:lineRule="exact"/>
        <w:ind w:left="1077" w:leftChars="0"/>
        <w:rPr>
          <w:rFonts w:hint="eastAsia" w:ascii="黑体" w:hAnsi="黑体" w:eastAsia="黑体" w:cs="黑体"/>
          <w:lang w:val="en-US" w:eastAsia="zh-CN"/>
        </w:rPr>
      </w:pPr>
    </w:p>
    <w:p w14:paraId="0873D8FC">
      <w:pPr>
        <w:keepNext w:val="0"/>
        <w:keepLines w:val="0"/>
        <w:pageBreakBefore w:val="0"/>
        <w:numPr>
          <w:ilvl w:val="0"/>
          <w:numId w:val="2"/>
        </w:numPr>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年度内部控制体系更新与优化</w:t>
      </w:r>
    </w:p>
    <w:p w14:paraId="7521AD26">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基于采购人现有内部控制管理制度及框架,结合最新法律法规、行业政策及医院运营发展需求，每年对采购人的内部控制体系进行全面评估、修订与优化。</w:t>
      </w:r>
      <w:r>
        <w:rPr>
          <w:rFonts w:hint="eastAsia" w:ascii="仿宋_GB2312" w:hAnsi="仿宋_GB2312" w:eastAsia="仿宋_GB2312" w:cs="仿宋_GB2312"/>
          <w:b w:val="0"/>
          <w:bCs w:val="0"/>
          <w:sz w:val="32"/>
          <w:szCs w:val="32"/>
          <w:lang w:val="en-US" w:eastAsia="zh-CN"/>
        </w:rPr>
        <w:t>构建涵盖单位层面、风险评估层面、六项基本业务层面、六项医疗业务层面、其他业务层面、评价监督层面及内控报告层面的内部控制手册。​</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2.</w:t>
      </w:r>
      <w:r>
        <w:rPr>
          <w:rFonts w:hint="eastAsia" w:ascii="仿宋_GB2312" w:hAnsi="仿宋_GB2312" w:eastAsia="仿宋_GB2312" w:cs="仿宋_GB2312"/>
          <w:b w:val="0"/>
          <w:bCs w:val="0"/>
          <w:sz w:val="32"/>
          <w:szCs w:val="32"/>
        </w:rPr>
        <w:t>重点更新</w:t>
      </w:r>
      <w:r>
        <w:rPr>
          <w:rFonts w:hint="eastAsia" w:ascii="仿宋_GB2312" w:hAnsi="仿宋_GB2312" w:eastAsia="仿宋_GB2312" w:cs="仿宋_GB2312"/>
          <w:b w:val="0"/>
          <w:bCs w:val="0"/>
          <w:sz w:val="32"/>
          <w:szCs w:val="32"/>
          <w:lang w:val="en-US" w:eastAsia="zh-CN"/>
        </w:rPr>
        <w:t>单位层面、12</w:t>
      </w:r>
      <w:r>
        <w:rPr>
          <w:rFonts w:hint="eastAsia" w:ascii="仿宋_GB2312" w:hAnsi="仿宋_GB2312" w:eastAsia="仿宋_GB2312" w:cs="仿宋_GB2312"/>
          <w:b w:val="0"/>
          <w:bCs w:val="0"/>
          <w:sz w:val="32"/>
          <w:szCs w:val="32"/>
        </w:rPr>
        <w:t> 个业务</w:t>
      </w:r>
      <w:r>
        <w:rPr>
          <w:rFonts w:hint="eastAsia" w:ascii="仿宋_GB2312" w:hAnsi="仿宋_GB2312" w:eastAsia="仿宋_GB2312" w:cs="仿宋_GB2312"/>
          <w:b w:val="0"/>
          <w:bCs w:val="0"/>
          <w:sz w:val="32"/>
          <w:szCs w:val="32"/>
          <w:lang w:val="en-US" w:eastAsia="zh-CN"/>
        </w:rPr>
        <w:t>层面</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预算管理、收支管理、采购管理(包括政府采购管理及自主采购管理)、资产管理、建设项目管理、合同管理、互联网诊疗管理、教学业务管理、医疗业务管理、科研经费项目管理、信息化建设管理、医联体管理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其他业务层面（药品及卫材、医保基金、</w:t>
      </w:r>
      <w:r>
        <w:rPr>
          <w:rFonts w:hint="eastAsia" w:ascii="仿宋_GB2312" w:hAnsi="仿宋_GB2312" w:eastAsia="仿宋_GB2312" w:cs="仿宋_GB2312"/>
          <w:b w:val="0"/>
          <w:bCs w:val="0"/>
          <w:sz w:val="32"/>
          <w:szCs w:val="32"/>
          <w:highlight w:val="none"/>
          <w:lang w:val="en-US" w:eastAsia="zh-CN"/>
        </w:rPr>
        <w:t>生物安全、</w:t>
      </w:r>
      <w:r>
        <w:rPr>
          <w:rFonts w:hint="eastAsia" w:ascii="仿宋_GB2312" w:hAnsi="仿宋_GB2312" w:eastAsia="仿宋_GB2312" w:cs="仿宋_GB2312"/>
          <w:b w:val="0"/>
          <w:bCs w:val="0"/>
          <w:sz w:val="32"/>
          <w:szCs w:val="32"/>
          <w:lang w:val="en-US" w:eastAsia="zh-CN"/>
        </w:rPr>
        <w:t>人事、工会、成本、债权债务等业务管理）</w:t>
      </w:r>
    </w:p>
    <w:p w14:paraId="0704228D">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根据采购人实际情况,对缺失、滞后或不适应的制度、流程与控制措施进行补充、修订或废止。</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4.</w:t>
      </w:r>
      <w:r>
        <w:rPr>
          <w:rFonts w:hint="eastAsia" w:ascii="仿宋_GB2312" w:hAnsi="仿宋_GB2312" w:eastAsia="仿宋_GB2312" w:cs="仿宋_GB2312"/>
          <w:b w:val="0"/>
          <w:bCs w:val="0"/>
          <w:sz w:val="32"/>
          <w:szCs w:val="32"/>
        </w:rPr>
        <w:t>具体成果:每年交付《内部控制规范建设制度汇编》年度修订版本的电子版一份和纸质版一份、《内部控制规范建设工作手册》年度修订版本的电子版一份和纸质版一份、其中，电子版均为可编辑文件。</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二、采购项目时间：1年项目建设+3年运维</w:t>
      </w:r>
    </w:p>
    <w:p w14:paraId="1764E83C">
      <w:pPr>
        <w:keepNext w:val="0"/>
        <w:keepLines w:val="0"/>
        <w:pageBreakBefore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FF"/>
          <w:sz w:val="32"/>
          <w:szCs w:val="32"/>
          <w:lang w:val="en-US" w:eastAsia="zh-CN"/>
        </w:rPr>
        <w:t xml:space="preserve">   </w:t>
      </w:r>
      <w:r>
        <w:rPr>
          <w:rFonts w:hint="eastAsia" w:ascii="黑体" w:hAnsi="黑体" w:eastAsia="黑体" w:cs="黑体"/>
          <w:b w:val="0"/>
          <w:bCs w:val="0"/>
          <w:sz w:val="32"/>
          <w:szCs w:val="32"/>
          <w:lang w:val="en-US" w:eastAsia="zh-CN"/>
        </w:rPr>
        <w:t>三、内部控制培训</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1.</w:t>
      </w:r>
      <w:r>
        <w:rPr>
          <w:rFonts w:hint="eastAsia" w:ascii="仿宋_GB2312" w:hAnsi="仿宋_GB2312" w:eastAsia="仿宋_GB2312" w:cs="仿宋_GB2312"/>
          <w:b w:val="0"/>
          <w:bCs w:val="0"/>
          <w:sz w:val="32"/>
          <w:szCs w:val="32"/>
        </w:rPr>
        <w:t>每年至少为采购人举办1次内部控制专题培训,内容可包括政策动态与监管趋势解读、医院风险评估方法与工具应用、预算/采购/资产等重点业务内控优化、制度执行与监督机制建设、医疗合规实务、典型内控风险案例分析等。</w:t>
      </w:r>
    </w:p>
    <w:p w14:paraId="5D61CAFB">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2.</w:t>
      </w:r>
      <w:r>
        <w:rPr>
          <w:rFonts w:hint="eastAsia" w:ascii="仿宋_GB2312" w:hAnsi="仿宋_GB2312" w:eastAsia="仿宋_GB2312" w:cs="仿宋_GB2312"/>
          <w:b w:val="0"/>
          <w:bCs w:val="0"/>
          <w:sz w:val="32"/>
          <w:szCs w:val="32"/>
        </w:rPr>
        <w:t>培训</w:t>
      </w:r>
      <w:r>
        <w:rPr>
          <w:rFonts w:hint="eastAsia" w:ascii="仿宋_GB2312" w:hAnsi="仿宋_GB2312" w:eastAsia="仿宋_GB2312" w:cs="仿宋_GB2312"/>
          <w:b w:val="0"/>
          <w:bCs w:val="0"/>
          <w:sz w:val="32"/>
          <w:szCs w:val="32"/>
          <w:lang w:val="en-US" w:eastAsia="zh-CN"/>
        </w:rPr>
        <w:t>对象</w:t>
      </w:r>
      <w:r>
        <w:rPr>
          <w:rFonts w:hint="eastAsia" w:ascii="仿宋_GB2312" w:hAnsi="仿宋_GB2312" w:eastAsia="仿宋_GB2312" w:cs="仿宋_GB2312"/>
          <w:b w:val="0"/>
          <w:bCs w:val="0"/>
          <w:sz w:val="32"/>
          <w:szCs w:val="32"/>
        </w:rPr>
        <w:t>涵盖管理层、</w:t>
      </w:r>
      <w:r>
        <w:rPr>
          <w:rFonts w:hint="eastAsia" w:ascii="仿宋_GB2312" w:hAnsi="仿宋_GB2312" w:eastAsia="仿宋_GB2312" w:cs="仿宋_GB2312"/>
          <w:b w:val="0"/>
          <w:bCs w:val="0"/>
          <w:sz w:val="32"/>
          <w:szCs w:val="32"/>
          <w:lang w:val="en-US" w:eastAsia="zh-CN"/>
        </w:rPr>
        <w:t>临床及</w:t>
      </w:r>
      <w:r>
        <w:rPr>
          <w:rFonts w:hint="eastAsia" w:ascii="仿宋_GB2312" w:hAnsi="仿宋_GB2312" w:eastAsia="仿宋_GB2312" w:cs="仿宋_GB2312"/>
          <w:b w:val="0"/>
          <w:bCs w:val="0"/>
          <w:sz w:val="32"/>
          <w:szCs w:val="32"/>
        </w:rPr>
        <w:t>职能部门负责人、业务骨干及相关岗位人员。</w:t>
      </w:r>
    </w:p>
    <w:p w14:paraId="6DAB0172">
      <w:pPr>
        <w:keepNext w:val="0"/>
        <w:keepLines w:val="0"/>
        <w:pageBreakBefore w:val="0"/>
        <w:numPr>
          <w:ilvl w:val="0"/>
          <w:numId w:val="0"/>
        </w:numPr>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提供培训材料、课件及课后辅导支持。</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具体成果:培训计划、课件材料、培训效果评估报告。</w:t>
      </w:r>
      <w:r>
        <w:rPr>
          <w:rFonts w:hint="eastAsia" w:ascii="仿宋_GB2312" w:hAnsi="仿宋_GB2312" w:eastAsia="仿宋_GB2312" w:cs="仿宋_GB2312"/>
          <w:b w:val="0"/>
          <w:bCs w:val="0"/>
          <w:sz w:val="32"/>
          <w:szCs w:val="32"/>
        </w:rPr>
        <w:br w:type="textWrapping"/>
      </w:r>
      <w:r>
        <w:rPr>
          <w:rFonts w:hint="eastAsia" w:ascii="微软雅黑" w:hAnsi="微软雅黑" w:eastAsia="微软雅黑" w:cs="微软雅黑"/>
          <w:b w:val="0"/>
          <w:bCs w:val="0"/>
          <w:sz w:val="32"/>
          <w:szCs w:val="32"/>
          <w:lang w:val="en-US" w:eastAsia="zh-CN"/>
        </w:rPr>
        <w:t>四、日常咨询与问题响应</w:t>
      </w:r>
    </w:p>
    <w:p w14:paraId="6CFB220B">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为采购人提供电话、线上咨询等日常咨询支持,在4小时内及时解答内控相关问题。遇到使用及技术问题，电话或线上咨询不能解决的，供应商需在24小时内到达现场进行处理。</w:t>
      </w:r>
    </w:p>
    <w:p w14:paraId="02EC9BC7">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针对采购人的重大经济活动或管理变革,提供专项内控建议或参与方案设计。</w:t>
      </w:r>
    </w:p>
    <w:p w14:paraId="64895412">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协助采购人应对审计、巡查、检查、评级等工作中涉及的内控事</w:t>
      </w:r>
      <w:r>
        <w:rPr>
          <w:rFonts w:hint="eastAsia" w:ascii="仿宋_GB2312" w:hAnsi="仿宋_GB2312" w:eastAsia="仿宋_GB2312" w:cs="仿宋_GB2312"/>
          <w:b w:val="0"/>
          <w:bCs w:val="0"/>
          <w:sz w:val="32"/>
          <w:szCs w:val="32"/>
          <w:lang w:val="en-US" w:eastAsia="zh-CN"/>
        </w:rPr>
        <w:t>项。</w:t>
      </w:r>
    </w:p>
    <w:p w14:paraId="2A0BCE45">
      <w:pPr>
        <w:keepNext w:val="0"/>
        <w:keepLines w:val="0"/>
        <w:pageBreakBefore w:val="0"/>
        <w:numPr>
          <w:ilvl w:val="0"/>
          <w:numId w:val="0"/>
        </w:numPr>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五、年</w:t>
      </w:r>
      <w:r>
        <w:rPr>
          <w:rFonts w:hint="eastAsia" w:ascii="黑体" w:hAnsi="黑体" w:eastAsia="黑体" w:cs="黑体"/>
          <w:b w:val="0"/>
          <w:bCs w:val="0"/>
          <w:sz w:val="32"/>
          <w:szCs w:val="32"/>
        </w:rPr>
        <w:t>度</w:t>
      </w:r>
      <w:r>
        <w:rPr>
          <w:rFonts w:hint="eastAsia" w:ascii="黑体" w:hAnsi="黑体" w:eastAsia="黑体" w:cs="黑体"/>
          <w:b w:val="0"/>
          <w:bCs w:val="0"/>
          <w:sz w:val="32"/>
          <w:szCs w:val="32"/>
          <w:lang w:val="en-US" w:eastAsia="zh-CN"/>
        </w:rPr>
        <w:t>内部控制</w:t>
      </w:r>
      <w:r>
        <w:rPr>
          <w:rFonts w:hint="eastAsia" w:ascii="黑体" w:hAnsi="黑体" w:eastAsia="黑体" w:cs="黑体"/>
          <w:b w:val="0"/>
          <w:bCs w:val="0"/>
          <w:sz w:val="32"/>
          <w:szCs w:val="32"/>
        </w:rPr>
        <w:t>报告编报</w:t>
      </w:r>
      <w:r>
        <w:rPr>
          <w:rFonts w:hint="eastAsia" w:ascii="黑体" w:hAnsi="黑体" w:eastAsia="黑体" w:cs="黑体"/>
          <w:b w:val="0"/>
          <w:bCs w:val="0"/>
          <w:sz w:val="32"/>
          <w:szCs w:val="32"/>
          <w:lang w:val="en-US" w:eastAsia="zh-CN"/>
        </w:rPr>
        <w:t xml:space="preserve"> </w:t>
      </w:r>
    </w:p>
    <w:p w14:paraId="763A8B65">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协助采购人在上级单位要求时间内完成年度内部控制报告编报材料的收集、整理与编制工作。</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2.</w:t>
      </w:r>
      <w:r>
        <w:rPr>
          <w:rFonts w:hint="eastAsia" w:ascii="仿宋_GB2312" w:hAnsi="仿宋_GB2312" w:eastAsia="仿宋_GB2312" w:cs="仿宋_GB2312"/>
          <w:b w:val="0"/>
          <w:bCs w:val="0"/>
          <w:sz w:val="32"/>
          <w:szCs w:val="32"/>
        </w:rPr>
        <w:t>在上级单位要求时间内完成年度内控系统填报,确保报告内容真实、完整、合规并协助报送至上级主管部门。</w:t>
      </w:r>
    </w:p>
    <w:p w14:paraId="258A8922">
      <w:pPr>
        <w:keepNext w:val="0"/>
        <w:keepLines w:val="0"/>
        <w:pageBreakBefore w:val="0"/>
        <w:numPr>
          <w:ilvl w:val="0"/>
          <w:numId w:val="0"/>
        </w:numPr>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六、成果验收与落地支持</w:t>
      </w:r>
    </w:p>
    <w:p w14:paraId="4C350083">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color w:val="auto"/>
          <w:sz w:val="32"/>
          <w:szCs w:val="32"/>
        </w:rPr>
        <w:t>中标人在合同服务期满之日起</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天内,向采购人申请进行内部控制建设验收工作。中</w:t>
      </w:r>
      <w:r>
        <w:rPr>
          <w:rFonts w:hint="eastAsia" w:ascii="仿宋_GB2312" w:hAnsi="仿宋_GB2312" w:eastAsia="仿宋_GB2312" w:cs="仿宋_GB2312"/>
          <w:b w:val="0"/>
          <w:bCs w:val="0"/>
          <w:sz w:val="32"/>
          <w:szCs w:val="32"/>
        </w:rPr>
        <w:t>标人需提供的资料为采购人所提</w:t>
      </w:r>
      <w:r>
        <w:rPr>
          <w:rFonts w:hint="eastAsia" w:ascii="仿宋_GB2312" w:hAnsi="仿宋_GB2312" w:eastAsia="仿宋_GB2312" w:cs="仿宋_GB2312"/>
          <w:b w:val="0"/>
          <w:bCs w:val="0"/>
          <w:sz w:val="32"/>
          <w:szCs w:val="32"/>
          <w:lang w:val="en-US" w:eastAsia="zh-CN"/>
        </w:rPr>
        <w:t>需</w:t>
      </w:r>
      <w:r>
        <w:rPr>
          <w:rFonts w:hint="eastAsia" w:ascii="仿宋_GB2312" w:hAnsi="仿宋_GB2312" w:eastAsia="仿宋_GB2312" w:cs="仿宋_GB2312"/>
          <w:b w:val="0"/>
          <w:bCs w:val="0"/>
          <w:sz w:val="32"/>
          <w:szCs w:val="32"/>
        </w:rPr>
        <w:t>求中的所有具体成果及当年考核评价结果表，并协助</w:t>
      </w:r>
      <w:r>
        <w:rPr>
          <w:rFonts w:hint="eastAsia" w:ascii="仿宋_GB2312" w:hAnsi="仿宋_GB2312" w:eastAsia="仿宋_GB2312" w:cs="仿宋_GB2312"/>
          <w:b w:val="0"/>
          <w:bCs w:val="0"/>
          <w:sz w:val="32"/>
          <w:szCs w:val="32"/>
          <w:lang w:val="en-US" w:eastAsia="zh-CN"/>
        </w:rPr>
        <w:t>内控工作小组</w:t>
      </w:r>
      <w:r>
        <w:rPr>
          <w:rFonts w:hint="eastAsia" w:ascii="仿宋_GB2312" w:hAnsi="仿宋_GB2312" w:eastAsia="仿宋_GB2312" w:cs="仿宋_GB2312"/>
          <w:b w:val="0"/>
          <w:bCs w:val="0"/>
          <w:sz w:val="32"/>
          <w:szCs w:val="32"/>
        </w:rPr>
        <w:t>开展成果验收前的准备工作和验收过程的配合工作。采购人验收合格后，向中标人支付当年合同款。</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2.</w:t>
      </w:r>
      <w:r>
        <w:rPr>
          <w:rFonts w:hint="eastAsia" w:ascii="仿宋_GB2312" w:hAnsi="仿宋_GB2312" w:eastAsia="仿宋_GB2312" w:cs="仿宋_GB2312"/>
          <w:b w:val="0"/>
          <w:bCs w:val="0"/>
          <w:sz w:val="32"/>
          <w:szCs w:val="32"/>
        </w:rPr>
        <w:t>做好内控成果的辅助落地工作。通过项目成果应用辅导，协助采购人做好内控体系成果单位层面和业务层面的具体落地实施。</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七、</w:t>
      </w:r>
      <w:r>
        <w:rPr>
          <w:rFonts w:hint="eastAsia" w:ascii="黑体" w:hAnsi="黑体" w:eastAsia="黑体" w:cs="黑体"/>
          <w:b w:val="0"/>
          <w:bCs w:val="0"/>
          <w:sz w:val="32"/>
          <w:szCs w:val="32"/>
        </w:rPr>
        <w:t>服务人员要求</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1.</w:t>
      </w:r>
      <w:r>
        <w:rPr>
          <w:rFonts w:hint="eastAsia" w:ascii="仿宋_GB2312" w:hAnsi="仿宋_GB2312" w:eastAsia="仿宋_GB2312" w:cs="仿宋_GB2312"/>
          <w:b w:val="0"/>
          <w:bCs w:val="0"/>
          <w:sz w:val="32"/>
          <w:szCs w:val="32"/>
        </w:rPr>
        <w:t>要求本项目咨询服务人员不少于3人,</w:t>
      </w:r>
      <w:r>
        <w:rPr>
          <w:rFonts w:hint="eastAsia" w:ascii="仿宋_GB2312" w:hAnsi="仿宋_GB2312" w:eastAsia="仿宋_GB2312" w:cs="仿宋_GB2312"/>
          <w:b w:val="0"/>
          <w:bCs w:val="0"/>
          <w:sz w:val="32"/>
          <w:szCs w:val="32"/>
          <w:lang w:val="en-US" w:eastAsia="zh-CN"/>
        </w:rPr>
        <w:t>且</w:t>
      </w:r>
      <w:r>
        <w:rPr>
          <w:rFonts w:hint="eastAsia" w:ascii="仿宋_GB2312" w:hAnsi="仿宋_GB2312" w:eastAsia="仿宋_GB2312" w:cs="仿宋_GB2312"/>
          <w:b w:val="0"/>
          <w:bCs w:val="0"/>
          <w:sz w:val="32"/>
          <w:szCs w:val="32"/>
        </w:rPr>
        <w:t>项目负责人须具有行政主管部门核发的</w:t>
      </w:r>
      <w:r>
        <w:rPr>
          <w:rFonts w:hint="eastAsia" w:ascii="仿宋_GB2312" w:hAnsi="仿宋_GB2312" w:eastAsia="仿宋_GB2312" w:cs="仿宋_GB2312"/>
          <w:b w:val="0"/>
          <w:bCs w:val="0"/>
          <w:sz w:val="32"/>
          <w:szCs w:val="32"/>
          <w:lang w:val="en-US" w:eastAsia="zh-CN"/>
        </w:rPr>
        <w:t>相关专业（会计类或经济类等）高级及以上职称或注册类证书</w:t>
      </w:r>
      <w:r>
        <w:rPr>
          <w:rFonts w:hint="eastAsia" w:ascii="仿宋_GB2312" w:hAnsi="仿宋_GB2312" w:eastAsia="仿宋_GB2312" w:cs="仿宋_GB2312"/>
          <w:b w:val="0"/>
          <w:bCs w:val="0"/>
          <w:sz w:val="32"/>
          <w:szCs w:val="32"/>
        </w:rPr>
        <w:t>；项目负责人</w:t>
      </w:r>
      <w:r>
        <w:rPr>
          <w:rFonts w:hint="eastAsia" w:ascii="仿宋_GB2312" w:hAnsi="仿宋_GB2312" w:eastAsia="仿宋_GB2312" w:cs="仿宋_GB2312"/>
          <w:b w:val="0"/>
          <w:bCs w:val="0"/>
          <w:sz w:val="32"/>
          <w:szCs w:val="32"/>
          <w:lang w:val="en-US" w:eastAsia="zh-CN"/>
        </w:rPr>
        <w:t>须</w:t>
      </w:r>
      <w:r>
        <w:rPr>
          <w:rFonts w:hint="eastAsia" w:ascii="仿宋_GB2312" w:hAnsi="仿宋_GB2312" w:eastAsia="仿宋_GB2312" w:cs="仿宋_GB2312"/>
          <w:b w:val="0"/>
          <w:bCs w:val="0"/>
          <w:sz w:val="32"/>
          <w:szCs w:val="32"/>
        </w:rPr>
        <w:t>全程参与项目实施，未经采购人同意不得擅自更换。</w:t>
      </w:r>
    </w:p>
    <w:p w14:paraId="3915CE8B">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项目组成员均应具有</w:t>
      </w:r>
      <w:r>
        <w:rPr>
          <w:rFonts w:hint="eastAsia" w:ascii="仿宋_GB2312" w:hAnsi="仿宋_GB2312" w:eastAsia="仿宋_GB2312" w:cs="仿宋_GB2312"/>
          <w:b w:val="0"/>
          <w:bCs w:val="0"/>
          <w:sz w:val="32"/>
          <w:szCs w:val="32"/>
          <w:lang w:val="en-US" w:eastAsia="zh-CN"/>
        </w:rPr>
        <w:t>相关专业（会计类或经济类或绩效类等）初级及以上职称或注册类证书，项目</w:t>
      </w:r>
      <w:r>
        <w:rPr>
          <w:rFonts w:hint="eastAsia" w:ascii="仿宋_GB2312" w:hAnsi="仿宋_GB2312" w:eastAsia="仿宋_GB2312" w:cs="仿宋_GB2312"/>
          <w:b w:val="0"/>
          <w:bCs w:val="0"/>
          <w:sz w:val="32"/>
          <w:szCs w:val="32"/>
        </w:rPr>
        <w:t>成员</w:t>
      </w:r>
      <w:r>
        <w:rPr>
          <w:rFonts w:hint="eastAsia" w:ascii="仿宋_GB2312" w:hAnsi="仿宋_GB2312" w:eastAsia="仿宋_GB2312" w:cs="仿宋_GB2312"/>
          <w:b w:val="0"/>
          <w:bCs w:val="0"/>
          <w:sz w:val="32"/>
          <w:szCs w:val="32"/>
          <w:lang w:val="en-US" w:eastAsia="zh-CN"/>
        </w:rPr>
        <w:t>须</w:t>
      </w:r>
      <w:r>
        <w:rPr>
          <w:rFonts w:hint="eastAsia" w:ascii="仿宋_GB2312" w:hAnsi="仿宋_GB2312" w:eastAsia="仿宋_GB2312" w:cs="仿宋_GB2312"/>
          <w:b w:val="0"/>
          <w:bCs w:val="0"/>
          <w:sz w:val="32"/>
          <w:szCs w:val="32"/>
        </w:rPr>
        <w:t>全程参与项目实施，未经采购人同意不得擅自更换。</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3.</w:t>
      </w:r>
      <w:r>
        <w:rPr>
          <w:rFonts w:hint="eastAsia" w:ascii="仿宋_GB2312" w:hAnsi="仿宋_GB2312" w:eastAsia="仿宋_GB2312" w:cs="仿宋_GB2312"/>
          <w:b w:val="0"/>
          <w:bCs w:val="0"/>
          <w:sz w:val="32"/>
          <w:szCs w:val="32"/>
        </w:rPr>
        <w:t>投标人投标时必须提供针对此次咨询服务的拟投入项目人员情况一览表。投标人在实施项目过程中的交通费、差旅费、住宿费、仪食费白理，所有费用均应包含在投标报价中，不再另做结算。投标人实施项目工作期间如出现工作人员人身、财产安全事故、损失等由投标人全部负责,采购人不负任何责任。</w:t>
      </w:r>
    </w:p>
    <w:p w14:paraId="201CD31C">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服务成果知识产权归属特别声明</w:t>
      </w:r>
      <w:r>
        <w:rPr>
          <w:rFonts w:hint="eastAsia" w:ascii="黑体" w:hAnsi="黑体" w:eastAsia="黑体" w:cs="黑体"/>
          <w:b w:val="0"/>
          <w:bCs w:val="0"/>
          <w:sz w:val="32"/>
          <w:szCs w:val="32"/>
          <w:lang w:val="en-US" w:eastAsia="zh-CN"/>
        </w:rPr>
        <w:t>及保密要求</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1.</w:t>
      </w:r>
      <w:r>
        <w:rPr>
          <w:rFonts w:hint="eastAsia" w:ascii="仿宋_GB2312" w:hAnsi="仿宋_GB2312" w:eastAsia="仿宋_GB2312" w:cs="仿宋_GB2312"/>
          <w:b w:val="0"/>
          <w:bCs w:val="0"/>
          <w:sz w:val="32"/>
          <w:szCs w:val="32"/>
        </w:rPr>
        <w:t>全部服务成果的知识产权(包括著作权、所有权、使用权、修改权、发布权等)自产生之日起,即永久、独家、无偿归属于采购人所有。</w:t>
      </w:r>
    </w:p>
    <w:p w14:paraId="5038736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b/>
          <w:bCs/>
          <w:sz w:val="21"/>
          <w:szCs w:val="21"/>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供应商仅可在本合同履行期间为完成约定服务之目的，在采购人授权范围内临时使用上述成果，不得以任何形式向第三方提供、复制、传播或用于其他项目。</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3.</w:t>
      </w:r>
      <w:r>
        <w:rPr>
          <w:rFonts w:hint="eastAsia" w:ascii="仿宋_GB2312" w:hAnsi="仿宋_GB2312" w:eastAsia="仿宋_GB2312" w:cs="仿宋_GB2312"/>
          <w:b w:val="0"/>
          <w:bCs w:val="0"/>
          <w:sz w:val="32"/>
          <w:szCs w:val="32"/>
        </w:rPr>
        <w:t>供应商应保证其交付的成果不侵犯任何第三方的知识产权或其他合法权益。如因使用该成果引发知识产权纠纷,由供应商承担全部法律责任并赔偿采购人因此谴受的一切损失。</w:t>
      </w:r>
    </w:p>
    <w:p w14:paraId="4BA4DCA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供应商对本项目工作中获悉的工作秘密、患者隐私和医院商业秘密等负有保密义务，对采购人和相关部门及单位提供的资料及出具的报告、材料负有保密义务，除法律、法规等另有规定外，未经采购人批准，不得以任何形式向任何单位或个人提供、泄露或公开工作情况。</w:t>
      </w:r>
      <w:r>
        <w:rPr>
          <w:rFonts w:hint="eastAsia" w:ascii="仿宋_GB2312" w:hAnsi="仿宋_GB2312" w:eastAsia="仿宋_GB2312" w:cs="仿宋_GB2312"/>
          <w:b w:val="0"/>
          <w:bCs w:val="0"/>
          <w:sz w:val="32"/>
          <w:szCs w:val="32"/>
        </w:rPr>
        <w:t>保密义务不因本项目合同的终止而终止，有效期自接触信息之日起至该信息依法公开之日止。如发生泄密行为，采购人有权终止合同并追究其法律责任。</w:t>
      </w:r>
    </w:p>
    <w:p w14:paraId="13C19446">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textWrapping"/>
      </w:r>
    </w:p>
    <w:p w14:paraId="16E1494D">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rPr>
      </w:pPr>
    </w:p>
    <w:p w14:paraId="3F21A96C">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rPr>
      </w:pPr>
    </w:p>
    <w:p w14:paraId="45B47FBE">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rPr>
      </w:pPr>
    </w:p>
    <w:p w14:paraId="12FA8853">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rPr>
      </w:pPr>
    </w:p>
    <w:p w14:paraId="05477275">
      <w:pPr>
        <w:pStyle w:val="3"/>
        <w:numPr>
          <w:ilvl w:val="3"/>
          <w:numId w:val="0"/>
        </w:numPr>
        <w:ind w:left="1077" w:leftChars="0"/>
        <w:rPr>
          <w:rFonts w:hint="eastAsia"/>
        </w:rPr>
      </w:pPr>
    </w:p>
    <w:p w14:paraId="46CFCEE4">
      <w:pPr>
        <w:rPr>
          <w:rFonts w:hint="eastAsia"/>
        </w:rPr>
      </w:pPr>
    </w:p>
    <w:p w14:paraId="69C3B3D3">
      <w:pPr>
        <w:pStyle w:val="3"/>
        <w:numPr>
          <w:ilvl w:val="3"/>
          <w:numId w:val="0"/>
        </w:numPr>
        <w:ind w:left="1050" w:leftChars="0"/>
        <w:rPr>
          <w:rFonts w:hint="eastAsia"/>
        </w:rPr>
      </w:pPr>
    </w:p>
    <w:p w14:paraId="0DE1B77F">
      <w:pPr>
        <w:rPr>
          <w:rFonts w:hint="eastAsia"/>
        </w:rPr>
      </w:pPr>
    </w:p>
    <w:p w14:paraId="618DA580">
      <w:pPr>
        <w:rPr>
          <w:rFonts w:hint="eastAsia"/>
        </w:rPr>
      </w:pPr>
    </w:p>
    <w:p w14:paraId="1E6D1904">
      <w:pPr>
        <w:rPr>
          <w:rFonts w:hint="eastAsia"/>
        </w:rPr>
      </w:pPr>
    </w:p>
    <w:p w14:paraId="250C6D1F">
      <w:pPr>
        <w:pStyle w:val="3"/>
        <w:numPr>
          <w:ilvl w:val="3"/>
          <w:numId w:val="0"/>
        </w:numPr>
        <w:ind w:left="1050" w:leftChars="0"/>
        <w:rPr>
          <w:rFonts w:hint="eastAsia"/>
        </w:rPr>
      </w:pPr>
    </w:p>
    <w:p w14:paraId="541A4A62">
      <w:pPr>
        <w:rPr>
          <w:rFonts w:hint="eastAsia"/>
        </w:rPr>
      </w:pPr>
    </w:p>
    <w:p w14:paraId="68614E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AD836"/>
    <w:multiLevelType w:val="singleLevel"/>
    <w:tmpl w:val="E4CAD836"/>
    <w:lvl w:ilvl="0" w:tentative="0">
      <w:start w:val="1"/>
      <w:numFmt w:val="chineseCounting"/>
      <w:suff w:val="nothing"/>
      <w:lvlText w:val="%1、"/>
      <w:lvlJc w:val="left"/>
      <w:rPr>
        <w:rFonts w:hint="eastAsia"/>
      </w:rPr>
    </w:lvl>
  </w:abstractNum>
  <w:abstractNum w:abstractNumId="1">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596"/>
        </w:tabs>
        <w:ind w:left="596"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pStyle w:val="3"/>
      <w:lvlText w:val="%1.%2.%3.%4"/>
      <w:lvlJc w:val="left"/>
      <w:pPr>
        <w:tabs>
          <w:tab w:val="left" w:pos="2155"/>
        </w:tabs>
        <w:ind w:left="2128"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A3AD2"/>
    <w:rsid w:val="500A3AD2"/>
    <w:rsid w:val="7BDD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numPr>
        <w:ilvl w:val="3"/>
        <w:numId w:val="1"/>
      </w:numPr>
      <w:adjustRightInd w:val="0"/>
      <w:spacing w:before="120" w:line="360" w:lineRule="auto"/>
      <w:textAlignment w:val="baseline"/>
      <w:outlineLvl w:val="3"/>
    </w:pPr>
    <w:rPr>
      <w:rFonts w:ascii="Arial" w:hAnsi="Arial" w:eastAsia="黑体"/>
      <w:kern w:val="0"/>
      <w:sz w:val="28"/>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2026-01-15T01:03:00Z</dcterms:created>
  <dc:creator>宋思宇</dc:creator>
  <cp:lastModifiedBy>宋思宇</cp:lastModifiedBy>
  <dcterms:modified xsi:type="dcterms:W3CDTF">2026-01-15T01:07:28Z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391BFBEBE1E54AC6BFED465F7F1791F3_13</vt:lpwstr>
  </property>
  <property fmtid="{D5CDD505-2E9C-101B-9397-08002B2CF9AE}" pid="4" name="KSOTemplateDocerSaveRecord">
    <vt:lpwstr>eyJoZGlkIjoiODAxZTQ0Y2JkOTA1NTBiZjBhYmNmMzYxODhkYmNhNmQiLCJ1c2VySWQiOiIyNjk1OTc2OTcifQ==</vt:lpwstr>
  </property>
</Properties>
</file>