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994CB">
      <w:pPr>
        <w:pStyle w:val="4"/>
        <w:jc w:val="center"/>
        <w:rPr>
          <w:sz w:val="28"/>
          <w:szCs w:val="28"/>
        </w:rPr>
      </w:pPr>
      <w:r>
        <w:rPr>
          <w:rFonts w:hint="eastAsia"/>
        </w:rPr>
        <w:t>采购</w:t>
      </w:r>
      <w:bookmarkStart w:id="0" w:name="_GoBack"/>
      <w:r>
        <w:rPr>
          <w:rFonts w:hint="eastAsia"/>
        </w:rPr>
        <w:t>项目技术、服务、商务及其他要求</w:t>
      </w:r>
      <w:bookmarkEnd w:id="0"/>
    </w:p>
    <w:p w14:paraId="2E979A45">
      <w:pPr>
        <w:ind w:firstLine="493"/>
      </w:pPr>
      <w:r>
        <w:rPr>
          <w:rFonts w:hint="eastAsia"/>
        </w:rPr>
        <w:t>前提：本章中选注“★”的条款为本项目的实质性条款，参选人不满足的，将按照无效参选处理。</w:t>
      </w:r>
    </w:p>
    <w:p w14:paraId="041E5F25">
      <w:pPr>
        <w:ind w:firstLine="493"/>
      </w:pPr>
    </w:p>
    <w:p w14:paraId="37F306AA">
      <w:pPr>
        <w:pStyle w:val="25"/>
        <w:numPr>
          <w:ilvl w:val="0"/>
          <w:numId w:val="1"/>
        </w:numPr>
        <w:spacing w:before="156" w:beforeLines="50" w:after="156" w:afterLines="50"/>
        <w:ind w:firstLineChars="0"/>
        <w:rPr>
          <w:rFonts w:ascii="宋体" w:hAnsi="宋体" w:eastAsia="宋体" w:cs="宋体"/>
          <w:b/>
          <w:bCs/>
          <w:snapToGrid w:val="0"/>
          <w:sz w:val="24"/>
          <w:lang w:val="zh-TW"/>
        </w:rPr>
      </w:pPr>
      <w:r>
        <w:rPr>
          <w:rFonts w:hint="eastAsia" w:ascii="宋体" w:hAnsi="宋体" w:eastAsia="宋体" w:cs="宋体"/>
          <w:b/>
          <w:bCs/>
          <w:snapToGrid w:val="0"/>
          <w:sz w:val="24"/>
        </w:rPr>
        <w:t>项目概况</w:t>
      </w:r>
    </w:p>
    <w:p w14:paraId="67196FFD">
      <w:pPr>
        <w:spacing w:before="156" w:beforeLines="50" w:after="156" w:afterLines="50"/>
        <w:ind w:firstLine="495"/>
        <w:rPr>
          <w:rFonts w:ascii="宋体" w:hAnsi="宋体" w:eastAsia="宋体" w:cs="宋体"/>
          <w:snapToGrid w:val="0"/>
          <w:sz w:val="24"/>
          <w:lang w:val="zh-TW"/>
        </w:rPr>
      </w:pPr>
      <w:r>
        <w:rPr>
          <w:rFonts w:hint="eastAsia" w:ascii="宋体" w:hAnsi="宋体" w:eastAsia="宋体" w:cs="宋体"/>
          <w:snapToGrid w:val="0"/>
          <w:sz w:val="24"/>
        </w:rPr>
        <w:t>1、</w:t>
      </w:r>
      <w:r>
        <w:rPr>
          <w:rFonts w:hint="eastAsia" w:ascii="宋体" w:hAnsi="宋体" w:eastAsia="宋体" w:cs="宋体"/>
          <w:snapToGrid w:val="0"/>
          <w:sz w:val="24"/>
          <w:lang w:val="zh-TW"/>
        </w:rPr>
        <w:t>阿坝州林业中心医院消防设施设备维护保养服务。</w:t>
      </w:r>
    </w:p>
    <w:p w14:paraId="64A005AA">
      <w:pPr>
        <w:pStyle w:val="25"/>
        <w:spacing w:before="156" w:beforeLines="50" w:after="156" w:afterLines="50"/>
        <w:ind w:firstLine="480"/>
        <w:rPr>
          <w:rFonts w:ascii="宋体" w:hAnsi="宋体" w:eastAsia="宋体" w:cs="宋体"/>
          <w:snapToGrid w:val="0"/>
          <w:sz w:val="24"/>
        </w:rPr>
      </w:pPr>
      <w:r>
        <w:rPr>
          <w:rFonts w:hint="eastAsia" w:ascii="宋体" w:hAnsi="宋体" w:eastAsia="宋体" w:cs="宋体"/>
          <w:snapToGrid w:val="0"/>
          <w:sz w:val="24"/>
        </w:rPr>
        <w:t>2、服务清单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7"/>
        <w:gridCol w:w="1234"/>
        <w:gridCol w:w="1633"/>
        <w:gridCol w:w="3410"/>
      </w:tblGrid>
      <w:tr w14:paraId="4753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77" w:type="dxa"/>
          </w:tcPr>
          <w:p w14:paraId="128463C5">
            <w:pPr>
              <w:jc w:val="center"/>
              <w:rPr>
                <w:rFonts w:ascii="宋体" w:hAnsi="宋体" w:eastAsia="宋体" w:cs="宋体"/>
                <w:snapToGrid w:val="0"/>
                <w:sz w:val="24"/>
                <w:lang w:val="zh-TW"/>
              </w:rPr>
            </w:pPr>
            <w:r>
              <w:rPr>
                <w:rFonts w:hint="eastAsia" w:ascii="宋体" w:hAnsi="宋体" w:eastAsia="宋体" w:cs="宋体"/>
                <w:snapToGrid w:val="0"/>
                <w:sz w:val="24"/>
                <w:lang w:val="zh-TW"/>
              </w:rPr>
              <w:t>项目名称</w:t>
            </w:r>
          </w:p>
        </w:tc>
        <w:tc>
          <w:tcPr>
            <w:tcW w:w="1234" w:type="dxa"/>
          </w:tcPr>
          <w:p w14:paraId="3158A1F0">
            <w:pPr>
              <w:jc w:val="center"/>
              <w:rPr>
                <w:rFonts w:ascii="宋体" w:hAnsi="宋体" w:eastAsia="宋体" w:cs="宋体"/>
                <w:snapToGrid w:val="0"/>
                <w:sz w:val="24"/>
                <w:lang w:val="zh-TW"/>
              </w:rPr>
            </w:pPr>
            <w:r>
              <w:rPr>
                <w:rFonts w:hint="eastAsia" w:ascii="宋体" w:hAnsi="宋体" w:eastAsia="宋体" w:cs="宋体"/>
                <w:snapToGrid w:val="0"/>
                <w:sz w:val="24"/>
                <w:lang w:val="zh-TW"/>
              </w:rPr>
              <w:t>服务期限</w:t>
            </w:r>
          </w:p>
        </w:tc>
        <w:tc>
          <w:tcPr>
            <w:tcW w:w="1633" w:type="dxa"/>
          </w:tcPr>
          <w:p w14:paraId="3D00C2A7">
            <w:pPr>
              <w:jc w:val="center"/>
              <w:rPr>
                <w:rFonts w:ascii="宋体" w:hAnsi="宋体" w:eastAsia="宋体" w:cs="宋体"/>
                <w:snapToGrid w:val="0"/>
                <w:sz w:val="24"/>
                <w:lang w:val="zh-TW"/>
              </w:rPr>
            </w:pPr>
            <w:r>
              <w:rPr>
                <w:rFonts w:hint="eastAsia" w:ascii="宋体" w:hAnsi="宋体" w:eastAsia="宋体" w:cs="宋体"/>
                <w:snapToGrid w:val="0"/>
                <w:sz w:val="24"/>
                <w:lang w:val="zh-TW"/>
              </w:rPr>
              <w:t>最高限价</w:t>
            </w:r>
          </w:p>
        </w:tc>
        <w:tc>
          <w:tcPr>
            <w:tcW w:w="3410" w:type="dxa"/>
          </w:tcPr>
          <w:p w14:paraId="6CFBF564">
            <w:pPr>
              <w:jc w:val="center"/>
              <w:rPr>
                <w:rFonts w:ascii="宋体" w:hAnsi="宋体" w:eastAsia="宋体" w:cs="宋体"/>
                <w:snapToGrid w:val="0"/>
                <w:sz w:val="24"/>
                <w:lang w:val="zh-TW"/>
              </w:rPr>
            </w:pPr>
            <w:r>
              <w:rPr>
                <w:rFonts w:hint="eastAsia" w:ascii="宋体" w:hAnsi="宋体" w:eastAsia="宋体" w:cs="宋体"/>
                <w:snapToGrid w:val="0"/>
                <w:sz w:val="24"/>
                <w:lang w:val="zh-TW"/>
              </w:rPr>
              <w:t>备注</w:t>
            </w:r>
          </w:p>
        </w:tc>
      </w:tr>
      <w:tr w14:paraId="217D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577" w:type="dxa"/>
          </w:tcPr>
          <w:p w14:paraId="6E6BFB80">
            <w:pPr>
              <w:spacing w:before="156" w:beforeLines="50" w:after="156" w:afterLines="50"/>
              <w:rPr>
                <w:rFonts w:ascii="宋体" w:hAnsi="宋体" w:eastAsia="宋体" w:cs="宋体"/>
                <w:snapToGrid w:val="0"/>
                <w:sz w:val="24"/>
                <w:lang w:val="zh-TW"/>
              </w:rPr>
            </w:pPr>
            <w:r>
              <w:rPr>
                <w:rFonts w:hint="eastAsia" w:ascii="宋体" w:hAnsi="宋体" w:eastAsia="宋体" w:cs="宋体"/>
                <w:snapToGrid w:val="0"/>
                <w:sz w:val="24"/>
                <w:lang w:val="zh-TW"/>
              </w:rPr>
              <w:t>消防设施设备维护保养服务项目</w:t>
            </w:r>
          </w:p>
        </w:tc>
        <w:tc>
          <w:tcPr>
            <w:tcW w:w="1234" w:type="dxa"/>
          </w:tcPr>
          <w:p w14:paraId="0AAD279A">
            <w:pPr>
              <w:spacing w:before="156" w:beforeLines="50" w:after="156" w:afterLines="50"/>
              <w:jc w:val="center"/>
              <w:rPr>
                <w:rFonts w:ascii="宋体" w:hAnsi="宋体" w:eastAsia="宋体" w:cs="宋体"/>
                <w:snapToGrid w:val="0"/>
                <w:sz w:val="24"/>
              </w:rPr>
            </w:pPr>
            <w:r>
              <w:rPr>
                <w:rFonts w:hint="eastAsia" w:ascii="宋体" w:hAnsi="宋体" w:eastAsia="宋体" w:cs="宋体"/>
                <w:snapToGrid w:val="0"/>
                <w:sz w:val="24"/>
              </w:rPr>
              <w:t>3年</w:t>
            </w:r>
          </w:p>
        </w:tc>
        <w:tc>
          <w:tcPr>
            <w:tcW w:w="1633" w:type="dxa"/>
          </w:tcPr>
          <w:p w14:paraId="3FE8339C">
            <w:pPr>
              <w:spacing w:before="156" w:beforeLines="50" w:after="156" w:afterLines="50"/>
              <w:rPr>
                <w:rFonts w:ascii="宋体" w:hAnsi="宋体" w:eastAsia="宋体" w:cs="宋体"/>
                <w:snapToGrid w:val="0"/>
                <w:sz w:val="24"/>
              </w:rPr>
            </w:pPr>
            <w:r>
              <w:rPr>
                <w:rFonts w:hint="eastAsia" w:ascii="宋体" w:hAnsi="宋体" w:eastAsia="宋体" w:cs="宋体"/>
                <w:snapToGrid w:val="0"/>
                <w:sz w:val="24"/>
              </w:rPr>
              <w:t>3.3万元/年</w:t>
            </w:r>
          </w:p>
        </w:tc>
        <w:tc>
          <w:tcPr>
            <w:tcW w:w="3410" w:type="dxa"/>
          </w:tcPr>
          <w:p w14:paraId="5EF2F9B9">
            <w:pPr>
              <w:spacing w:before="156" w:beforeLines="50" w:after="156" w:afterLines="50"/>
              <w:rPr>
                <w:rFonts w:ascii="宋体" w:hAnsi="宋体" w:eastAsia="宋体" w:cs="宋体"/>
                <w:snapToGrid w:val="0"/>
                <w:sz w:val="24"/>
                <w:lang w:val="zh-TW"/>
              </w:rPr>
            </w:pPr>
            <w:r>
              <w:rPr>
                <w:rFonts w:hint="eastAsia" w:ascii="宋体" w:hAnsi="宋体" w:eastAsia="宋体" w:cs="宋体"/>
                <w:snapToGrid w:val="0"/>
                <w:sz w:val="24"/>
                <w:lang w:val="zh-TW"/>
              </w:rPr>
              <w:t>含消防设施设备年度检测费用</w:t>
            </w:r>
          </w:p>
        </w:tc>
      </w:tr>
    </w:tbl>
    <w:p w14:paraId="3DC0BAFD">
      <w:pPr>
        <w:ind w:firstLine="493"/>
        <w:jc w:val="center"/>
        <w:rPr>
          <w:rFonts w:ascii="宋体" w:hAnsi="宋体" w:eastAsia="宋体" w:cs="宋体"/>
          <w:snapToGrid w:val="0"/>
          <w:sz w:val="24"/>
          <w:lang w:val="zh-TW"/>
        </w:rPr>
      </w:pPr>
    </w:p>
    <w:p w14:paraId="0A4717EB">
      <w:pPr>
        <w:pStyle w:val="25"/>
        <w:spacing w:before="156" w:beforeLines="50" w:after="156" w:afterLines="50"/>
        <w:ind w:firstLine="241" w:firstLineChars="100"/>
        <w:rPr>
          <w:rFonts w:ascii="宋体" w:hAnsi="宋体" w:eastAsia="宋体" w:cs="宋体"/>
          <w:b/>
          <w:bCs/>
          <w:snapToGrid w:val="0"/>
          <w:sz w:val="24"/>
        </w:rPr>
      </w:pPr>
      <w:r>
        <w:rPr>
          <w:rFonts w:hint="eastAsia" w:ascii="宋体" w:hAnsi="宋体" w:eastAsia="宋体" w:cs="宋体"/>
          <w:b/>
          <w:bCs/>
          <w:snapToGrid w:val="0"/>
          <w:sz w:val="24"/>
        </w:rPr>
        <w:t>★二、商务要求</w:t>
      </w:r>
    </w:p>
    <w:p w14:paraId="6775D332">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1、服务期限及地点</w:t>
      </w:r>
    </w:p>
    <w:p w14:paraId="10C57DC4">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1.1 服务期限：3年</w:t>
      </w:r>
    </w:p>
    <w:p w14:paraId="364B600B">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1.2 服务地点:阿坝州林业中心医院</w:t>
      </w:r>
    </w:p>
    <w:p w14:paraId="4D7F1427">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付款方法和条件：当年度合同金额分两次支付；正式履约满半年后30日内向中选人支付合同总价50%，剩余50%在当年度履约期满并验收考核合格后30日内支付给中选人，每次付款前中选人需向采购人开具正式合法有效的税务发票。</w:t>
      </w:r>
    </w:p>
    <w:p w14:paraId="5DB51BA3">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3、参选人提供社会消防技术服务信息系统查询截图和四川省消防技术服务机构管理平台查询截图。</w:t>
      </w:r>
    </w:p>
    <w:p w14:paraId="41E98CE7">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4、履约验收方案：</w:t>
      </w:r>
    </w:p>
    <w:p w14:paraId="3E678663">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(1)履约验收主体：阿坝州林业中心医院</w:t>
      </w:r>
    </w:p>
    <w:p w14:paraId="70983D08">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(2)履约验收时间：提出验收申请之日起 15 日内组织验收</w:t>
      </w:r>
    </w:p>
    <w:p w14:paraId="233C5AA1">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(3)验收组织方式：自行验收</w:t>
      </w:r>
    </w:p>
    <w:p w14:paraId="66899F2C">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(4)履约验收程序：一次性验收</w:t>
      </w:r>
    </w:p>
    <w:p w14:paraId="6CFB613A">
      <w:pPr>
        <w:spacing w:before="156" w:beforeLines="50" w:after="156" w:afterLines="50"/>
        <w:ind w:firstLine="495"/>
        <w:rPr>
          <w:rFonts w:hint="eastAsia" w:ascii="宋体" w:hAnsi="宋体" w:eastAsia="宋体" w:cs="宋体"/>
          <w:snapToGrid w:val="0"/>
          <w:sz w:val="24"/>
        </w:rPr>
      </w:pPr>
      <w:r>
        <w:rPr>
          <w:rFonts w:hint="eastAsia" w:ascii="宋体" w:hAnsi="宋体" w:eastAsia="宋体" w:cs="宋体"/>
          <w:snapToGrid w:val="0"/>
          <w:sz w:val="24"/>
        </w:rPr>
        <w:t>（5）技术履约验收内容：按照本项目比选文件中“技术服务要求”及中选人参选文件进行验收。</w:t>
      </w:r>
    </w:p>
    <w:p w14:paraId="02019D56">
      <w:pPr>
        <w:spacing w:before="156" w:beforeLines="50" w:after="156" w:afterLines="50"/>
        <w:ind w:firstLine="495"/>
        <w:rPr>
          <w:rFonts w:hint="eastAsia" w:ascii="宋体" w:hAnsi="宋体" w:eastAsia="宋体" w:cs="宋体"/>
          <w:snapToGrid w:val="0"/>
          <w:sz w:val="24"/>
        </w:rPr>
      </w:pPr>
      <w:r>
        <w:rPr>
          <w:rFonts w:hint="eastAsia" w:ascii="宋体" w:hAnsi="宋体" w:eastAsia="宋体" w:cs="宋体"/>
          <w:snapToGrid w:val="0"/>
          <w:sz w:val="24"/>
        </w:rPr>
        <w:t>（6）商务履约验收内容：按照本项目比选文件中“商务要求”及中选人参选文件进行验收。</w:t>
      </w:r>
    </w:p>
    <w:p w14:paraId="09E99D00">
      <w:pPr>
        <w:pStyle w:val="25"/>
        <w:spacing w:before="156" w:beforeLines="50" w:after="156" w:afterLines="50"/>
        <w:ind w:firstLine="241" w:firstLineChars="100"/>
        <w:rPr>
          <w:rFonts w:ascii="宋体" w:hAnsi="宋体" w:eastAsia="宋体" w:cs="宋体"/>
          <w:b/>
          <w:bCs/>
          <w:snapToGrid w:val="0"/>
          <w:sz w:val="24"/>
        </w:rPr>
      </w:pPr>
      <w:r>
        <w:rPr>
          <w:rFonts w:hint="eastAsia" w:ascii="宋体" w:hAnsi="宋体" w:eastAsia="宋体" w:cs="宋体"/>
          <w:b/>
          <w:bCs/>
          <w:snapToGrid w:val="0"/>
          <w:sz w:val="24"/>
        </w:rPr>
        <w:t>（三）技术服务要求</w:t>
      </w:r>
    </w:p>
    <w:p w14:paraId="642CC1E9">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一、火灾自动报警系统保养依据、标准及保养范围</w:t>
      </w:r>
    </w:p>
    <w:p w14:paraId="5E8729A4">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 依据《建筑设计防火规范》GB50016-2014（2018修订版）、《火灾自动报警系统施工及验收规范》GB50166-2019、《建筑消防设施的维护管理》（GB25201-2010）、《中华人民共和国消防法》。</w:t>
      </w:r>
    </w:p>
    <w:p w14:paraId="60A5F392">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 维保范围：医院</w:t>
      </w:r>
      <w:r>
        <w:rPr>
          <w:rFonts w:ascii="宋体" w:hAnsi="宋体" w:eastAsia="宋体" w:cs="宋体"/>
          <w:sz w:val="24"/>
        </w:rPr>
        <w:t>火灾自动报警系统（应急广播、消防专用电话）、消防供配电设施、 消防给水及消火栓系统、自动喷水灭火系统、气体灭火系统（干粉灭火系统参照）、七氟丙烷灭火系统、 防排烟系统、应急照明系统、防火分隔设施、消防电梯、疏散指示标识</w:t>
      </w:r>
      <w:r>
        <w:rPr>
          <w:rFonts w:hint="eastAsia" w:ascii="宋体" w:hAnsi="宋体" w:eastAsia="宋体" w:cs="宋体"/>
          <w:sz w:val="24"/>
        </w:rPr>
        <w:t>等所有消防设备维护保养</w:t>
      </w:r>
      <w:r>
        <w:rPr>
          <w:rFonts w:hint="eastAsia" w:ascii="宋体" w:hAnsi="宋体" w:eastAsia="宋体" w:cs="宋体"/>
          <w:snapToGrid w:val="0"/>
          <w:sz w:val="24"/>
        </w:rPr>
        <w:t>，每年不少于一次消防全面检测，并向采购人提供四川省建筑消防设施检测报告。</w:t>
      </w:r>
    </w:p>
    <w:p w14:paraId="6B7DE3F4">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二、工作要求:</w:t>
      </w:r>
    </w:p>
    <w:p w14:paraId="6984094C">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1、响应时间</w:t>
      </w:r>
    </w:p>
    <w:p w14:paraId="72EDA9D5">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采购人在发现问题向中选人提出后，中选人在2小时内响应，4小时内解决问题。</w:t>
      </w:r>
    </w:p>
    <w:p w14:paraId="04B2B26E">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2、月维护、保养</w:t>
      </w:r>
    </w:p>
    <w:p w14:paraId="4406B1DA">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每月下旬对火灾探测器、手动报警按钮及联动设备进行模拟火警、故障和联运试验；对火灾自动报警系统控制线路及联动线路的故障进行检修；采用专用检测仪分期分批试验探测器动作及确认灯显示（半年为一个周期全部检测完毕）；进行设备的除尘、接线端子的紧固等；检测消防报警主机、以及上述维保范围内所有消防系统的功能进行检查，并做好维保记录，备案备查。</w:t>
      </w:r>
    </w:p>
    <w:p w14:paraId="50AD7265">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3、季度维护、保养</w:t>
      </w:r>
    </w:p>
    <w:p w14:paraId="29B232CF">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除月维护、保养中的项目外，还需对火灾自动报警系统的消防通讯线路、消防主机电源及消防主机接地线路的故障进行检查及维修；自动或手动检查消防控制设备的控制显示功能；手动检查消防通讯设备报警及通话功能，并做好维保记录，备案备查。</w:t>
      </w:r>
    </w:p>
    <w:p w14:paraId="120AE675">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4、年度维护保养</w:t>
      </w:r>
    </w:p>
    <w:p w14:paraId="7AF3CF98">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除月、季度中维护、保养项目外，还需对备用电源进行充放电试验，主电源和备用电源自检；对消防系统联动设备作定期检查和试验；进行强制切断非消防电源消防联动试验两次；自动或手动检查消防控制设备的控制显示功能；对CPU主板、回路板、电源板、网卡等功能电路板清洗、除尘及线路插接的固定，并做好维保记录，备案备查。</w:t>
      </w:r>
    </w:p>
    <w:p w14:paraId="24E5FBC3">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三、维护保养内容:</w:t>
      </w:r>
    </w:p>
    <w:p w14:paraId="7A041060">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（一） 火灾自动报警系统</w:t>
      </w:r>
    </w:p>
    <w:p w14:paraId="3C3AF05C">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1、检查火灾报警控制器自检功能、消音复位功能、故障报警功能、火灾记忆功能和主备电源自动转换功能。</w:t>
      </w:r>
    </w:p>
    <w:p w14:paraId="50654697">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2、检查消防控制室或消防值班室工作环境以及火灾报警控制器、联动控制器、探测器及电脑图形软件的测试维护。</w:t>
      </w:r>
    </w:p>
    <w:p w14:paraId="3EC5EAA8">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3、检查探测点的显示，联动程序。</w:t>
      </w:r>
    </w:p>
    <w:p w14:paraId="2FF00A95">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4、检查备用电的充放电功能。</w:t>
      </w:r>
    </w:p>
    <w:p w14:paraId="24C6CD8E">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5、检查探测器肮脏度、灵敏度、自动环境补偿、预报警、响应域值、通讯故障及其他必要的功能试验。</w:t>
      </w:r>
    </w:p>
    <w:p w14:paraId="693A4B95">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6、检查模块通讯故障、自动诊断、历史记录。</w:t>
      </w:r>
    </w:p>
    <w:p w14:paraId="4C18B517">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7、检查手动报警按钮外观有无损坏，报警及指示灯是否正常。</w:t>
      </w:r>
    </w:p>
    <w:p w14:paraId="4111ADA3">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8、检查系统的值班记录，同采购人的值班人员共同做好维护保养记录。</w:t>
      </w:r>
    </w:p>
    <w:p w14:paraId="3ECE1AC9">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9、检查（警铃）音响度、灵敏度及部位的正确。</w:t>
      </w:r>
    </w:p>
    <w:p w14:paraId="60FBF855">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10、CPU主板、回路板、电源板、网卡、电脑、UPS硬件的清洗等功能电路板清洗、除尘及线路插接的固定。</w:t>
      </w:r>
    </w:p>
    <w:p w14:paraId="263472DB">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11、检查下列功能：</w:t>
      </w:r>
    </w:p>
    <w:p w14:paraId="34860361">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(1)采用检测设备分期分批试验探测器的工作情况。</w:t>
      </w:r>
    </w:p>
    <w:p w14:paraId="4DA7308A">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（2）试验手动按钮，抽检数量不少于总数的70%。</w:t>
      </w:r>
    </w:p>
    <w:p w14:paraId="3A08EC2C">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（3）自动或手动试验相关联动控制设备的控制和显示功能。</w:t>
      </w:r>
    </w:p>
    <w:p w14:paraId="08F6D6BF">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（4）对系统回路电压、回路地阻、回路对地电阻进行检查测试。</w:t>
      </w:r>
    </w:p>
    <w:p w14:paraId="518882FD">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（5）对消防电话插孔和对讲电话，按实际安装数量的60%进行通话试验。</w:t>
      </w:r>
    </w:p>
    <w:p w14:paraId="635B1D68">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6）综合上述各分项试验，测试消防主控屏的报警、故障显示、消音、复位、火灾记忆功能，并进行消防主电源和备用电源的自动切换模拟试验和充放电实验，对非消防电源切换、空调、疏散指示标志等设备的联动进行模拟试验。</w:t>
      </w:r>
    </w:p>
    <w:p w14:paraId="7E76F8DF">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（二）消防通讯</w:t>
      </w:r>
    </w:p>
    <w:p w14:paraId="31792009">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1、检查电话插孔、重要场所（设备房间）的对讲电话等是否处于正常完好状态。</w:t>
      </w:r>
    </w:p>
    <w:p w14:paraId="5500282E">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2、检查电话插孔和对讲电话的通话质量，抽检数量不少于总数的90%</w:t>
      </w:r>
    </w:p>
    <w:p w14:paraId="033ACF07">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（三）消防供水系统、自动喷淋系统、室内（外）消火栓系统</w:t>
      </w:r>
    </w:p>
    <w:p w14:paraId="538016DE">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1、分别进行消防泵、喷淋泵手动启动、远程启动、自动启动测试。</w:t>
      </w:r>
    </w:p>
    <w:p w14:paraId="14C7078D">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2、试验屋顶水压是否正常。</w:t>
      </w:r>
    </w:p>
    <w:p w14:paraId="6B204739">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3、查看消防水箱、消防水池补水是否正常、外观是否正常。</w:t>
      </w:r>
    </w:p>
    <w:p w14:paraId="00D15264">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4、查看末端试水，检查水压是否正常。</w:t>
      </w:r>
    </w:p>
    <w:p w14:paraId="4BEB8556">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5、室外以及家属区、住院部院区消火栓整体及内配件（水枪头、水带、卷盘）有无缺损、有无锈蚀。设有消防泵起泵按钮的消火栓还需试验功能是否正常。</w:t>
      </w:r>
    </w:p>
    <w:p w14:paraId="455B92A2">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（四）机械加压送风系统、机械排烟系统</w:t>
      </w:r>
    </w:p>
    <w:p w14:paraId="61035A86">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1、测试手动启动、远程启动、联动启动功能是否正常。</w:t>
      </w:r>
    </w:p>
    <w:p w14:paraId="215697DF">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2、监测各风口出风情况是否能满足，查看各出风口设备功能、外观是否正常。</w:t>
      </w:r>
    </w:p>
    <w:p w14:paraId="36D47532">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（五）消防电梯</w:t>
      </w:r>
    </w:p>
    <w:p w14:paraId="38AE4ECA">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1、测试手动启动、远程启动、联动启动功能是否正常。</w:t>
      </w:r>
    </w:p>
    <w:p w14:paraId="7E4F6CC5">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2、测试反馈信号是否及时。</w:t>
      </w:r>
    </w:p>
    <w:p w14:paraId="3B666B25">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（六）火灾应急照明和疏散指示标志</w:t>
      </w:r>
    </w:p>
    <w:p w14:paraId="410B5B20">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1、查看外观、功能是否正常。</w:t>
      </w:r>
    </w:p>
    <w:p w14:paraId="7EE728E6">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2、检测试验功能是否正常。</w:t>
      </w:r>
    </w:p>
    <w:p w14:paraId="3AE0D71D">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（七）消防应急广播系统</w:t>
      </w:r>
    </w:p>
    <w:p w14:paraId="4D9E9213">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1、查看各点位外观、功能是否正常。</w:t>
      </w:r>
    </w:p>
    <w:p w14:paraId="5E60E85B">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2、监测单点启动、分区启动、远程启动、联动功能是否正常。</w:t>
      </w:r>
    </w:p>
    <w:p w14:paraId="2A219967">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3、检查功率放大器、话筒、cd播放盘功能是否正常。</w:t>
      </w:r>
    </w:p>
    <w:p w14:paraId="32EEB23D">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（八）防火分隔设施</w:t>
      </w:r>
    </w:p>
    <w:p w14:paraId="1B96AA03">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1、防火卷帘：手动启动（含铰链拉动）、远程启动、联动启动测试功能是否正常。</w:t>
      </w:r>
    </w:p>
    <w:p w14:paraId="4491EAEE">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2、查看外观、功能是否正常、有无阻挡。</w:t>
      </w:r>
    </w:p>
    <w:p w14:paraId="5AF0786D">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3、防火门：查看外观是否破损、是否变形；部件（闭门器、顺序器）功能是否正常、是否变形。</w:t>
      </w:r>
    </w:p>
    <w:p w14:paraId="07B97801">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（九）气体灭火系统</w:t>
      </w:r>
    </w:p>
    <w:p w14:paraId="28247BF2">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1、定期查看压力表是否正常。</w:t>
      </w:r>
    </w:p>
    <w:p w14:paraId="1629BC23">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2、检查内药剂是否正常。</w:t>
      </w:r>
    </w:p>
    <w:p w14:paraId="4168F890">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3、测试手动控制、远程控制、联动控制的信号是否能及时反馈。</w:t>
      </w:r>
    </w:p>
    <w:p w14:paraId="06A51572">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四、维护人员具体要求</w:t>
      </w:r>
    </w:p>
    <w:p w14:paraId="5B70A16E">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1、维护人员的工作要求</w:t>
      </w:r>
    </w:p>
    <w:p w14:paraId="79FA8F9D">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★1.1维护人员应严格遵守《建筑消防设施维护保养技术实施规范》、以及医院的规章制度、安全注意事项及保密制度，需具备建构筑物中级及以上消防员证（消防设施操作员 ）（提供承诺函，格式自拟）。</w:t>
      </w:r>
    </w:p>
    <w:p w14:paraId="31137764">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1.2如需实施维护工作，应向采购人说明本次工作需要涉及的地点、设备、需要中断系统运行的时间（提供承诺函，格式自拟）。</w:t>
      </w:r>
    </w:p>
    <w:p w14:paraId="48AA95F9">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1.3维护人员服务工作时，应采用书面“保养维修工作联系单”的形式与采购人联系。</w:t>
      </w:r>
    </w:p>
    <w:p w14:paraId="4200E26A">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1.4维护保养要按《建筑消防设施维护保养技术实施规范》保养及检修，在系统运行出现故障或系统实施灭火动作以后应采购人的要求，及时前往系统所在部位进行修理、更换、恢复运行等工作。</w:t>
      </w:r>
    </w:p>
    <w:p w14:paraId="54506753">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1.5维修保养工作应至少由两名工作人员共同执行，以便相互协助和相互监督。</w:t>
      </w:r>
    </w:p>
    <w:p w14:paraId="768BC647">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1.6系统的定期维保包括月检、季检和年检三种规格，每种规格的维护项目内容由中选人设计保养维修记录表（并由中选人盖章），中选人工作人员必须按照规格的要求完成对应的各项工作内容，并在相应的记录表上做出记录。</w:t>
      </w:r>
    </w:p>
    <w:p w14:paraId="7CF0C43E">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1.7在所有的维护、检修、检测、试验工作完成后，应将系统复位到正常警戒状态，做好清洁卫生工作。</w:t>
      </w:r>
    </w:p>
    <w:p w14:paraId="275BA59D">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1.8工作中发现产品设备故障、损坏以及系统存在的其他问题应立即进行检查、维修、核实和原因分析，保持设备正常运行，并提出整改意见同时通知采购人。</w:t>
      </w:r>
    </w:p>
    <w:p w14:paraId="4F1D7F9A">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1.9遇到节假日或采购人有重要部署，根据采购人要求，应组织维保人员到采购人指定地点进行巡检工作，每个院区人数不少于2人。</w:t>
      </w:r>
    </w:p>
    <w:p w14:paraId="24CF8D27">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1.10在提供维护档案、维护技术资料同时需向采购人提供保养过程中的动态管理情况，包括应急处理、维护记录、故障处理登记及第三方机构出具的年度消防检测报告等。</w:t>
      </w:r>
    </w:p>
    <w:p w14:paraId="7BE8593F">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五、人员服务团队要求：</w:t>
      </w:r>
    </w:p>
    <w:p w14:paraId="6FFA927A">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1、拟投本项目的人员服务团队不得低于3人（提供承诺函及人员配置清单）</w:t>
      </w:r>
    </w:p>
    <w:p w14:paraId="32F402D6">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2、本项目工作的项目负责人员需具有建筑消防设施维护保养的能力（需提供注册消防工程师证复印件和劳动合同复印件）。</w:t>
      </w:r>
    </w:p>
    <w:p w14:paraId="383C48E2">
      <w:pPr>
        <w:spacing w:before="156" w:beforeLines="50" w:after="156" w:afterLines="50"/>
        <w:ind w:firstLine="495"/>
        <w:rPr>
          <w:rFonts w:ascii="宋体" w:hAnsi="宋体" w:eastAsia="宋体" w:cs="宋体"/>
          <w:snapToGrid w:val="0"/>
          <w:sz w:val="24"/>
        </w:rPr>
      </w:pPr>
      <w:r>
        <w:rPr>
          <w:rFonts w:hint="eastAsia" w:ascii="宋体" w:hAnsi="宋体" w:eastAsia="宋体" w:cs="宋体"/>
          <w:snapToGrid w:val="0"/>
          <w:sz w:val="24"/>
        </w:rPr>
        <w:t>3、服务团队其他人员具有消防维保的能力，需配备注册消防工程师2人及以上。（提供注册消防工程师证书复印件和和劳动合同复印件）</w:t>
      </w:r>
    </w:p>
    <w:p w14:paraId="21DB8D40">
      <w:pPr>
        <w:rPr>
          <w:rFonts w:ascii="宋体" w:hAnsi="宋体" w:eastAsia="宋体" w:cs="宋体"/>
          <w:snapToGrid w:val="0"/>
          <w:sz w:val="24"/>
        </w:rPr>
      </w:pPr>
    </w:p>
    <w:p w14:paraId="2079DD60">
      <w:pPr>
        <w:pStyle w:val="2"/>
        <w:rPr>
          <w:rFonts w:ascii="宋体" w:hAnsi="宋体" w:eastAsia="宋体" w:cs="宋体"/>
          <w:snapToGrid w:val="0"/>
          <w:sz w:val="24"/>
        </w:rPr>
      </w:pPr>
    </w:p>
    <w:p w14:paraId="1BE03BDA">
      <w:pPr>
        <w:pStyle w:val="3"/>
        <w:ind w:firstLine="240"/>
        <w:rPr>
          <w:rFonts w:ascii="宋体" w:hAnsi="宋体" w:eastAsia="宋体" w:cs="宋体"/>
          <w:snapToGrid w:val="0"/>
          <w:sz w:val="24"/>
        </w:rPr>
      </w:pPr>
    </w:p>
    <w:p w14:paraId="6D71865A">
      <w:pPr>
        <w:rPr>
          <w:rFonts w:ascii="宋体" w:hAnsi="宋体" w:eastAsia="宋体" w:cs="宋体"/>
          <w:snapToGrid w:val="0"/>
          <w:sz w:val="24"/>
        </w:rPr>
      </w:pPr>
    </w:p>
    <w:p w14:paraId="1C33E263">
      <w:pPr>
        <w:pStyle w:val="2"/>
        <w:rPr>
          <w:rFonts w:ascii="宋体" w:hAnsi="宋体" w:eastAsia="宋体" w:cs="宋体"/>
          <w:snapToGrid w:val="0"/>
          <w:sz w:val="24"/>
        </w:rPr>
      </w:pPr>
    </w:p>
    <w:p w14:paraId="72B39571">
      <w:pPr>
        <w:sectPr>
          <w:pgSz w:w="11906" w:h="16838"/>
          <w:pgMar w:top="1134" w:right="1134" w:bottom="1134" w:left="1134" w:header="851" w:footer="992" w:gutter="0"/>
          <w:cols w:space="0" w:num="1"/>
          <w:docGrid w:type="lines" w:linePitch="312" w:charSpace="0"/>
        </w:sectPr>
      </w:pPr>
    </w:p>
    <w:p w14:paraId="5CE6150A">
      <w:pPr>
        <w:pStyle w:val="2"/>
      </w:pPr>
    </w:p>
    <w:p w14:paraId="7492C18A">
      <w:pPr>
        <w:pStyle w:val="4"/>
        <w:spacing w:before="0" w:after="0" w:line="120" w:lineRule="auto"/>
        <w:jc w:val="center"/>
        <w:rPr>
          <w:sz w:val="28"/>
          <w:szCs w:val="28"/>
        </w:rPr>
      </w:pPr>
      <w:r>
        <w:rPr>
          <w:rFonts w:hint="eastAsia"/>
          <w:sz w:val="28"/>
          <w:szCs w:val="28"/>
        </w:rPr>
        <w:t>评分方法</w:t>
      </w:r>
    </w:p>
    <w:p w14:paraId="7835E826">
      <w:pPr>
        <w:pStyle w:val="4"/>
        <w:numPr>
          <w:ilvl w:val="0"/>
          <w:numId w:val="2"/>
        </w:numPr>
        <w:spacing w:before="0" w:after="0" w:line="120" w:lineRule="auto"/>
        <w:rPr>
          <w:rFonts w:ascii="宋体" w:hAnsi="宋体" w:eastAsia="宋体" w:cs="宋体"/>
          <w:b w:val="0"/>
          <w:bCs w:val="0"/>
          <w:sz w:val="24"/>
          <w:szCs w:val="24"/>
        </w:rPr>
      </w:pPr>
      <w:r>
        <w:rPr>
          <w:rFonts w:hint="eastAsia" w:ascii="宋体" w:hAnsi="宋体" w:eastAsia="宋体" w:cs="宋体"/>
          <w:b w:val="0"/>
          <w:bCs w:val="0"/>
          <w:sz w:val="24"/>
          <w:szCs w:val="24"/>
        </w:rPr>
        <w:t>本项目采取综合评分法。</w:t>
      </w:r>
    </w:p>
    <w:p w14:paraId="47368E29"/>
    <w:tbl>
      <w:tblPr>
        <w:tblStyle w:val="14"/>
        <w:tblpPr w:leftFromText="180" w:rightFromText="180" w:vertAnchor="text" w:horzAnchor="page" w:tblpX="1060" w:tblpY="84"/>
        <w:tblOverlap w:val="never"/>
        <w:tblW w:w="14693" w:type="dxa"/>
        <w:tblInd w:w="0" w:type="dxa"/>
        <w:tblLayout w:type="autofit"/>
        <w:tblCellMar>
          <w:top w:w="0" w:type="dxa"/>
          <w:left w:w="108" w:type="dxa"/>
          <w:bottom w:w="0" w:type="dxa"/>
          <w:right w:w="108" w:type="dxa"/>
        </w:tblCellMar>
      </w:tblPr>
      <w:tblGrid>
        <w:gridCol w:w="656"/>
        <w:gridCol w:w="1531"/>
        <w:gridCol w:w="709"/>
        <w:gridCol w:w="11797"/>
      </w:tblGrid>
      <w:tr w14:paraId="01F43E4D">
        <w:tblPrEx>
          <w:tblCellMar>
            <w:top w:w="0" w:type="dxa"/>
            <w:left w:w="108" w:type="dxa"/>
            <w:bottom w:w="0" w:type="dxa"/>
            <w:right w:w="108" w:type="dxa"/>
          </w:tblCellMar>
        </w:tblPrEx>
        <w:trPr>
          <w:trHeight w:val="554" w:hRule="atLeast"/>
        </w:trPr>
        <w:tc>
          <w:tcPr>
            <w:tcW w:w="146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EED6">
            <w:pPr>
              <w:pStyle w:val="4"/>
              <w:spacing w:before="0" w:after="0" w:line="120" w:lineRule="auto"/>
              <w:jc w:val="center"/>
              <w:rPr>
                <w:rFonts w:ascii="宋体" w:hAnsi="宋体" w:eastAsia="宋体" w:cs="宋体"/>
                <w:color w:val="000000"/>
                <w:sz w:val="22"/>
                <w:szCs w:val="22"/>
              </w:rPr>
            </w:pPr>
            <w:r>
              <w:rPr>
                <w:rFonts w:hint="eastAsia" w:ascii="宋体" w:hAnsi="宋体" w:eastAsia="宋体" w:cs="宋体"/>
                <w:color w:val="000000"/>
                <w:kern w:val="0"/>
                <w:sz w:val="22"/>
                <w:szCs w:val="22"/>
                <w:lang w:val="zh-TW"/>
              </w:rPr>
              <w:t>消防设施设备维护保养服务项目</w:t>
            </w:r>
            <w:r>
              <w:rPr>
                <w:rFonts w:hint="eastAsia" w:ascii="宋体" w:hAnsi="宋体" w:eastAsia="宋体" w:cs="宋体"/>
                <w:color w:val="000000"/>
                <w:kern w:val="0"/>
                <w:sz w:val="22"/>
                <w:szCs w:val="22"/>
              </w:rPr>
              <w:t>比选评分因素</w:t>
            </w:r>
          </w:p>
        </w:tc>
      </w:tr>
      <w:tr w14:paraId="27185B46">
        <w:tblPrEx>
          <w:tblCellMar>
            <w:top w:w="0" w:type="dxa"/>
            <w:left w:w="108" w:type="dxa"/>
            <w:bottom w:w="0" w:type="dxa"/>
            <w:right w:w="108" w:type="dxa"/>
          </w:tblCellMar>
        </w:tblPrEx>
        <w:trPr>
          <w:trHeight w:val="5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D842">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83D4">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评价因素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32EE">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分值</w:t>
            </w:r>
          </w:p>
        </w:tc>
        <w:tc>
          <w:tcPr>
            <w:tcW w:w="1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42BD">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评分标准</w:t>
            </w:r>
          </w:p>
        </w:tc>
      </w:tr>
      <w:tr w14:paraId="4A2BB732">
        <w:tblPrEx>
          <w:tblCellMar>
            <w:top w:w="0" w:type="dxa"/>
            <w:left w:w="108" w:type="dxa"/>
            <w:bottom w:w="0" w:type="dxa"/>
            <w:right w:w="108" w:type="dxa"/>
          </w:tblCellMar>
        </w:tblPrEx>
        <w:trPr>
          <w:trHeight w:val="65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BC3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689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报价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408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776C">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综合评分法中的价格分统一采用低价优先法计算，即满足比选文件要求且参选价格最低的参选报价为评标基准价，其价格分为满分。其他参选人的价格分统一按照下列公式计算：参选报价得分=(评标基准价／参选报价)×100×权重</w:t>
            </w:r>
          </w:p>
        </w:tc>
      </w:tr>
      <w:tr w14:paraId="1418812B">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F0E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BD86">
            <w:pPr>
              <w:jc w:val="center"/>
              <w:rPr>
                <w:rFonts w:ascii="宋体" w:hAnsi="宋体" w:eastAsia="宋体" w:cs="宋体"/>
                <w:color w:val="000000"/>
                <w:sz w:val="22"/>
                <w:szCs w:val="22"/>
              </w:rPr>
            </w:pPr>
            <w:r>
              <w:rPr>
                <w:rFonts w:hint="eastAsia" w:ascii="宋体" w:hAnsi="宋体" w:eastAsia="宋体" w:cs="宋体"/>
                <w:color w:val="000000"/>
                <w:sz w:val="22"/>
                <w:szCs w:val="22"/>
              </w:rPr>
              <w:t>业绩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EF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204C">
            <w:pPr>
              <w:pStyle w:val="2"/>
              <w:rPr>
                <w:rFonts w:ascii="宋体" w:hAnsi="宋体" w:eastAsia="宋体" w:cs="宋体"/>
                <w:color w:val="000000"/>
                <w:sz w:val="22"/>
                <w:szCs w:val="22"/>
              </w:rPr>
            </w:pPr>
            <w:r>
              <w:rPr>
                <w:rFonts w:hint="eastAsia" w:ascii="宋体" w:hAnsi="宋体" w:eastAsia="宋体" w:cs="宋体"/>
                <w:color w:val="000000"/>
                <w:sz w:val="22"/>
                <w:szCs w:val="22"/>
              </w:rPr>
              <w:t>供应商提供类似项目业绩，每提供 1个得2分，最多得6分。</w:t>
            </w:r>
          </w:p>
          <w:p w14:paraId="4464A2A5">
            <w:pPr>
              <w:pStyle w:val="2"/>
              <w:rPr>
                <w:sz w:val="22"/>
                <w:szCs w:val="22"/>
              </w:rPr>
            </w:pPr>
            <w:r>
              <w:rPr>
                <w:rFonts w:hint="eastAsia" w:ascii="宋体" w:hAnsi="宋体" w:eastAsia="宋体" w:cs="宋体"/>
                <w:b/>
                <w:bCs/>
                <w:color w:val="000000"/>
                <w:sz w:val="22"/>
                <w:szCs w:val="22"/>
              </w:rPr>
              <w:t>注：提供中选（成交）通知书或合同复印件加盖供应商公章，未提供或未盖章的不得分。</w:t>
            </w:r>
          </w:p>
        </w:tc>
      </w:tr>
      <w:tr w14:paraId="74A42830">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45A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6BF4">
            <w:pPr>
              <w:jc w:val="center"/>
              <w:rPr>
                <w:rFonts w:ascii="宋体" w:hAnsi="宋体" w:eastAsia="宋体" w:cs="宋体"/>
                <w:color w:val="000000"/>
                <w:sz w:val="22"/>
                <w:szCs w:val="22"/>
              </w:rPr>
            </w:pPr>
            <w:r>
              <w:rPr>
                <w:rFonts w:hint="eastAsia" w:ascii="宋体" w:hAnsi="宋体" w:eastAsia="宋体" w:cs="宋体"/>
                <w:color w:val="000000"/>
                <w:sz w:val="22"/>
                <w:szCs w:val="22"/>
              </w:rPr>
              <w:t>技术服务要求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2AA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54分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122E">
            <w:pPr>
              <w:pStyle w:val="2"/>
              <w:rPr>
                <w:rFonts w:ascii="宋体" w:hAnsi="宋体" w:eastAsia="宋体" w:cs="宋体"/>
                <w:color w:val="000000"/>
                <w:sz w:val="22"/>
                <w:szCs w:val="22"/>
              </w:rPr>
            </w:pPr>
            <w:r>
              <w:rPr>
                <w:rFonts w:hint="eastAsia" w:ascii="宋体" w:hAnsi="宋体" w:eastAsia="宋体" w:cs="宋体"/>
                <w:color w:val="000000"/>
                <w:sz w:val="22"/>
                <w:szCs w:val="22"/>
              </w:rPr>
              <w:t>供应商完全满足比选文件中“技术服务要求”得54分，每有一项不满足采购需求中的“技术服务要求”中未标注“★”条款要求的扣1分（共54条），扣完为止。</w:t>
            </w:r>
          </w:p>
          <w:p w14:paraId="6794A7B1">
            <w:pPr>
              <w:pStyle w:val="2"/>
              <w:rPr>
                <w:rFonts w:ascii="宋体" w:hAnsi="宋体" w:eastAsia="宋体" w:cs="宋体"/>
                <w:color w:val="000000"/>
                <w:sz w:val="22"/>
                <w:szCs w:val="22"/>
              </w:rPr>
            </w:pPr>
            <w:r>
              <w:rPr>
                <w:rFonts w:hint="eastAsia" w:ascii="宋体" w:hAnsi="宋体" w:eastAsia="宋体" w:cs="宋体"/>
                <w:color w:val="000000"/>
                <w:sz w:val="22"/>
                <w:szCs w:val="22"/>
              </w:rPr>
              <w:t>注1、“★”号条款为实质性要求，不参与本项评分。</w:t>
            </w:r>
          </w:p>
          <w:p w14:paraId="414F8AEB">
            <w:pPr>
              <w:pStyle w:val="2"/>
            </w:pPr>
            <w:r>
              <w:rPr>
                <w:rFonts w:hint="eastAsia" w:ascii="宋体" w:hAnsi="宋体" w:eastAsia="宋体" w:cs="宋体"/>
                <w:color w:val="000000"/>
                <w:sz w:val="22"/>
                <w:szCs w:val="22"/>
              </w:rPr>
              <w:t>2、以具有阿拉伯数字序号如“1”、“2”、“3”……为1项，如存在多级序号，以最小级别的序号为1项。</w:t>
            </w:r>
          </w:p>
        </w:tc>
      </w:tr>
      <w:tr w14:paraId="6DA2D5B9">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F89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A3B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维保方案</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B22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EB2D">
            <w:pPr>
              <w:widowControl/>
              <w:jc w:val="left"/>
              <w:textAlignment w:val="center"/>
              <w:rPr>
                <w:rFonts w:ascii="宋体" w:hAnsi="宋体" w:eastAsia="宋体" w:cs="宋体"/>
                <w:sz w:val="22"/>
                <w:szCs w:val="22"/>
              </w:rPr>
            </w:pPr>
            <w:r>
              <w:rPr>
                <w:rFonts w:hint="eastAsia" w:ascii="宋体" w:hAnsi="宋体" w:eastAsia="宋体" w:cs="宋体"/>
                <w:sz w:val="22"/>
                <w:szCs w:val="22"/>
              </w:rPr>
              <w:t>1、参选人承诺逢法定节假日、重大活动前对全院消防系统进行检测并出具检查报告得2分。（提供承诺函并加盖参选人公章）</w:t>
            </w:r>
          </w:p>
          <w:p w14:paraId="662082F6">
            <w:pPr>
              <w:widowControl/>
              <w:jc w:val="left"/>
              <w:textAlignment w:val="center"/>
              <w:rPr>
                <w:rFonts w:ascii="宋体" w:hAnsi="宋体" w:eastAsia="宋体" w:cs="宋体"/>
                <w:sz w:val="22"/>
                <w:szCs w:val="22"/>
              </w:rPr>
            </w:pPr>
            <w:r>
              <w:rPr>
                <w:rFonts w:hint="eastAsia" w:ascii="宋体" w:hAnsi="宋体" w:eastAsia="宋体" w:cs="宋体"/>
                <w:sz w:val="22"/>
                <w:szCs w:val="22"/>
              </w:rPr>
              <w:t>2、遇到节假日或采购人有重要部署，根据采购人要求，应组织维保人员到采购人指定地点进行巡检工作，在2人的基础上，每增加1人得1分，最多得2分。（提供承诺函并加盖参选人公章）</w:t>
            </w:r>
          </w:p>
          <w:p w14:paraId="4A5B149D">
            <w:pPr>
              <w:widowControl/>
              <w:jc w:val="left"/>
              <w:textAlignment w:val="center"/>
              <w:rPr>
                <w:rFonts w:ascii="宋体" w:hAnsi="宋体" w:eastAsia="宋体" w:cs="宋体"/>
                <w:sz w:val="22"/>
                <w:szCs w:val="22"/>
              </w:rPr>
            </w:pPr>
            <w:r>
              <w:rPr>
                <w:rFonts w:hint="eastAsia" w:ascii="宋体" w:hAnsi="宋体" w:eastAsia="宋体" w:cs="宋体"/>
                <w:sz w:val="22"/>
                <w:szCs w:val="22"/>
              </w:rPr>
              <w:t>3、根据参选人提供维护保养方案进行评审：(方案包括：①计划及工作安排、②组织措施、③技术措施、④巡检方案、⑤维保质量保障措施) 得15分。每缺一项（共5项）扣3分，所提供的实施方案中每有一处具有缺陷（存在项目名称错误、地点区域错误、内容与本项目需求无关、方案内容矛盾或表述前后不一致、仅有框架或标题、适用的标准（方法）错误、明显复制其他项目内容等任意一种情形）的扣1.5分，扣完为止。</w:t>
            </w:r>
          </w:p>
        </w:tc>
      </w:tr>
      <w:tr w14:paraId="72507702">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7071">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0946">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服务承诺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C833">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D279">
            <w:pPr>
              <w:widowControl/>
              <w:jc w:val="left"/>
              <w:textAlignment w:val="center"/>
              <w:rPr>
                <w:rFonts w:ascii="宋体" w:hAnsi="宋体" w:eastAsia="宋体" w:cs="宋体"/>
                <w:sz w:val="22"/>
                <w:szCs w:val="22"/>
              </w:rPr>
            </w:pPr>
            <w:r>
              <w:rPr>
                <w:rFonts w:hint="eastAsia" w:ascii="仿宋" w:hAnsi="仿宋" w:eastAsia="仿宋"/>
                <w:szCs w:val="21"/>
              </w:rPr>
              <w:t>1</w:t>
            </w:r>
            <w:r>
              <w:rPr>
                <w:rFonts w:hint="eastAsia" w:ascii="宋体" w:hAnsi="宋体" w:eastAsia="宋体" w:cs="宋体"/>
                <w:sz w:val="22"/>
                <w:szCs w:val="22"/>
              </w:rPr>
              <w:t>、参选人能提供所维保项目事故责任保险单（本项目或覆盖本项目的保险单）的得3分，不能提供的不得分。（提供保单复印件或承诺中选后购买的承诺函）</w:t>
            </w:r>
          </w:p>
          <w:p w14:paraId="0E7844C9">
            <w:pPr>
              <w:widowControl/>
              <w:jc w:val="left"/>
              <w:textAlignment w:val="center"/>
              <w:rPr>
                <w:rFonts w:ascii="宋体" w:hAnsi="宋体" w:eastAsia="宋体" w:cs="宋体"/>
                <w:sz w:val="22"/>
                <w:szCs w:val="22"/>
              </w:rPr>
            </w:pPr>
            <w:r>
              <w:rPr>
                <w:rFonts w:hint="eastAsia" w:ascii="宋体" w:hAnsi="宋体" w:eastAsia="宋体" w:cs="宋体"/>
                <w:sz w:val="22"/>
                <w:szCs w:val="22"/>
              </w:rPr>
              <w:t>2、承诺服务响应时间以2小时为基准，每减少15分钟得1分，最多得3分。（提供承诺函并加盖参选人公章）</w:t>
            </w:r>
          </w:p>
          <w:p w14:paraId="4B166D21">
            <w:pPr>
              <w:widowControl/>
              <w:jc w:val="left"/>
              <w:textAlignment w:val="center"/>
              <w:rPr>
                <w:rFonts w:ascii="仿宋" w:hAnsi="仿宋" w:eastAsia="仿宋"/>
                <w:szCs w:val="21"/>
              </w:rPr>
            </w:pPr>
            <w:r>
              <w:rPr>
                <w:rFonts w:hint="eastAsia" w:ascii="宋体" w:hAnsi="宋体" w:eastAsia="宋体" w:cs="宋体"/>
                <w:sz w:val="22"/>
                <w:szCs w:val="22"/>
              </w:rPr>
              <w:t>3、对常规故障处理所需时限，以4小时为基准，每减少半小时得1分，最多得3分。（提供承诺函并加盖参选人公章）</w:t>
            </w:r>
          </w:p>
        </w:tc>
      </w:tr>
      <w:tr w14:paraId="409D89A0">
        <w:tblPrEx>
          <w:tblCellMar>
            <w:top w:w="0" w:type="dxa"/>
            <w:left w:w="108" w:type="dxa"/>
            <w:bottom w:w="0" w:type="dxa"/>
            <w:right w:w="108" w:type="dxa"/>
          </w:tblCellMar>
        </w:tblPrEx>
        <w:trPr>
          <w:trHeight w:val="1000" w:hRule="atLeast"/>
        </w:trPr>
        <w:tc>
          <w:tcPr>
            <w:tcW w:w="14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8A510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评审的资料都应当清晰可辨，对于模糊或分辨不明的资料，评审专家可以不予认可。</w:t>
            </w:r>
          </w:p>
        </w:tc>
      </w:tr>
    </w:tbl>
    <w:p w14:paraId="2E5A0CEA">
      <w:pPr>
        <w:pStyle w:val="13"/>
        <w:ind w:left="0" w:leftChars="0" w:firstLine="0" w:firstLineChars="0"/>
        <w:rPr>
          <w:sz w:val="22"/>
          <w:szCs w:val="22"/>
        </w:rPr>
      </w:pPr>
    </w:p>
    <w:p w14:paraId="1AA23FC9">
      <w:pPr>
        <w:pStyle w:val="13"/>
        <w:ind w:left="0" w:leftChars="0" w:firstLine="0" w:firstLineChars="0"/>
        <w:rPr>
          <w:sz w:val="22"/>
          <w:szCs w:val="22"/>
        </w:rPr>
      </w:pPr>
    </w:p>
    <w:sectPr>
      <w:pgSz w:w="16838" w:h="11906" w:orient="landscape"/>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39BBE"/>
    <w:multiLevelType w:val="singleLevel"/>
    <w:tmpl w:val="19739BBE"/>
    <w:lvl w:ilvl="0" w:tentative="0">
      <w:start w:val="1"/>
      <w:numFmt w:val="chineseCounting"/>
      <w:suff w:val="space"/>
      <w:lvlText w:val="%1、"/>
      <w:lvlJc w:val="left"/>
      <w:rPr>
        <w:rFonts w:hint="eastAsia"/>
      </w:rPr>
    </w:lvl>
  </w:abstractNum>
  <w:abstractNum w:abstractNumId="1">
    <w:nsid w:val="1E37D5F4"/>
    <w:multiLevelType w:val="singleLevel"/>
    <w:tmpl w:val="1E37D5F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6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YTI1MmZmYWZlOTFiNTc5ODg5YTM2MWMwYmU0ZTkifQ=="/>
  </w:docVars>
  <w:rsids>
    <w:rsidRoot w:val="00C613D4"/>
    <w:rsid w:val="00122C36"/>
    <w:rsid w:val="00232940"/>
    <w:rsid w:val="002971DE"/>
    <w:rsid w:val="00432374"/>
    <w:rsid w:val="00624F2B"/>
    <w:rsid w:val="006B01E9"/>
    <w:rsid w:val="006C5D80"/>
    <w:rsid w:val="00864CB2"/>
    <w:rsid w:val="0093481A"/>
    <w:rsid w:val="00B340EF"/>
    <w:rsid w:val="00BA7B7A"/>
    <w:rsid w:val="00C613D4"/>
    <w:rsid w:val="00CD589B"/>
    <w:rsid w:val="00E54787"/>
    <w:rsid w:val="00E65BA1"/>
    <w:rsid w:val="00F04213"/>
    <w:rsid w:val="00F37A94"/>
    <w:rsid w:val="00F71997"/>
    <w:rsid w:val="00FE1FF7"/>
    <w:rsid w:val="01AE15BA"/>
    <w:rsid w:val="03001F4F"/>
    <w:rsid w:val="04735D8F"/>
    <w:rsid w:val="04E531C1"/>
    <w:rsid w:val="05563AA4"/>
    <w:rsid w:val="09191CC3"/>
    <w:rsid w:val="095F67F0"/>
    <w:rsid w:val="0A316165"/>
    <w:rsid w:val="0B594A4F"/>
    <w:rsid w:val="0EEF6D6E"/>
    <w:rsid w:val="102D5E28"/>
    <w:rsid w:val="11755C50"/>
    <w:rsid w:val="11ED02AE"/>
    <w:rsid w:val="123C24BE"/>
    <w:rsid w:val="159D39C7"/>
    <w:rsid w:val="16636121"/>
    <w:rsid w:val="1EB65EE0"/>
    <w:rsid w:val="1FFC0D0E"/>
    <w:rsid w:val="213B42F4"/>
    <w:rsid w:val="21C62123"/>
    <w:rsid w:val="22BA4B4F"/>
    <w:rsid w:val="267A208B"/>
    <w:rsid w:val="27363334"/>
    <w:rsid w:val="284312FA"/>
    <w:rsid w:val="29671ECA"/>
    <w:rsid w:val="2B2F4C6A"/>
    <w:rsid w:val="2BBD499D"/>
    <w:rsid w:val="2C091017"/>
    <w:rsid w:val="2DF95C4E"/>
    <w:rsid w:val="324466D3"/>
    <w:rsid w:val="364E656A"/>
    <w:rsid w:val="37FD7CA0"/>
    <w:rsid w:val="381C10C6"/>
    <w:rsid w:val="38743CBC"/>
    <w:rsid w:val="38885084"/>
    <w:rsid w:val="38E65BD9"/>
    <w:rsid w:val="3A157EA8"/>
    <w:rsid w:val="3A3D1896"/>
    <w:rsid w:val="3A9E7CE0"/>
    <w:rsid w:val="3BB16FD5"/>
    <w:rsid w:val="40251ED0"/>
    <w:rsid w:val="403B1563"/>
    <w:rsid w:val="403C5A07"/>
    <w:rsid w:val="40EB595C"/>
    <w:rsid w:val="411C3369"/>
    <w:rsid w:val="431B7685"/>
    <w:rsid w:val="444C3722"/>
    <w:rsid w:val="446C43E1"/>
    <w:rsid w:val="44E151FE"/>
    <w:rsid w:val="47240519"/>
    <w:rsid w:val="4A6711E9"/>
    <w:rsid w:val="4C474BF5"/>
    <w:rsid w:val="4FF21C3E"/>
    <w:rsid w:val="5100482F"/>
    <w:rsid w:val="53F65E0F"/>
    <w:rsid w:val="547A3754"/>
    <w:rsid w:val="55B26875"/>
    <w:rsid w:val="57916848"/>
    <w:rsid w:val="58F5279F"/>
    <w:rsid w:val="59BC76E7"/>
    <w:rsid w:val="59F359C5"/>
    <w:rsid w:val="5A625342"/>
    <w:rsid w:val="5B934C9A"/>
    <w:rsid w:val="5DF254FF"/>
    <w:rsid w:val="5E14191A"/>
    <w:rsid w:val="5F4A1DC7"/>
    <w:rsid w:val="5FD0689F"/>
    <w:rsid w:val="61E52B68"/>
    <w:rsid w:val="64BB76D0"/>
    <w:rsid w:val="653A2BC1"/>
    <w:rsid w:val="6A022D0D"/>
    <w:rsid w:val="6A097E59"/>
    <w:rsid w:val="6B653589"/>
    <w:rsid w:val="6EF52A47"/>
    <w:rsid w:val="6F8D72D6"/>
    <w:rsid w:val="725E211F"/>
    <w:rsid w:val="733E2214"/>
    <w:rsid w:val="74461986"/>
    <w:rsid w:val="758F0BB3"/>
    <w:rsid w:val="790F4D60"/>
    <w:rsid w:val="793863BB"/>
    <w:rsid w:val="7B1311E3"/>
    <w:rsid w:val="7BF81ADB"/>
    <w:rsid w:val="7E1C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First Indent"/>
    <w:basedOn w:val="2"/>
    <w:next w:val="1"/>
    <w:autoRedefine/>
    <w:unhideWhenUsed/>
    <w:qFormat/>
    <w:uiPriority w:val="99"/>
    <w:pPr>
      <w:ind w:firstLine="420" w:firstLineChars="100"/>
    </w:pPr>
  </w:style>
  <w:style w:type="paragraph" w:styleId="6">
    <w:name w:val="Normal Indent"/>
    <w:basedOn w:val="1"/>
    <w:autoRedefine/>
    <w:qFormat/>
    <w:uiPriority w:val="0"/>
    <w:pPr>
      <w:ind w:firstLine="420" w:firstLineChars="200"/>
    </w:pPr>
  </w:style>
  <w:style w:type="paragraph" w:styleId="7">
    <w:name w:val="annotation text"/>
    <w:basedOn w:val="1"/>
    <w:qFormat/>
    <w:uiPriority w:val="0"/>
    <w:pPr>
      <w:jc w:val="left"/>
    </w:pPr>
  </w:style>
  <w:style w:type="paragraph" w:styleId="8">
    <w:name w:val="Body Text Indent"/>
    <w:basedOn w:val="1"/>
    <w:next w:val="9"/>
    <w:autoRedefine/>
    <w:qFormat/>
    <w:uiPriority w:val="0"/>
    <w:pPr>
      <w:ind w:firstLine="630"/>
    </w:pPr>
    <w:rPr>
      <w:sz w:val="32"/>
      <w:szCs w:val="20"/>
    </w:rPr>
  </w:style>
  <w:style w:type="paragraph" w:styleId="9">
    <w:name w:val="envelope return"/>
    <w:basedOn w:val="1"/>
    <w:autoRedefine/>
    <w:qFormat/>
    <w:uiPriority w:val="0"/>
    <w:pPr>
      <w:snapToGrid w:val="0"/>
      <w:ind w:firstLine="480"/>
    </w:pPr>
    <w:rPr>
      <w:rFonts w:ascii="Arial" w:hAnsi="Arial"/>
      <w:spacing w:val="-10"/>
      <w:lang w:val="zh-CN"/>
    </w:rPr>
  </w:style>
  <w:style w:type="paragraph" w:styleId="10">
    <w:name w:val="footer"/>
    <w:basedOn w:val="1"/>
    <w:autoRedefine/>
    <w:semiHidden/>
    <w:unhideWhenUsed/>
    <w:qFormat/>
    <w:uiPriority w:val="99"/>
    <w:pPr>
      <w:tabs>
        <w:tab w:val="center" w:pos="4153"/>
        <w:tab w:val="right" w:pos="8306"/>
      </w:tabs>
    </w:pPr>
    <w:rPr>
      <w:sz w:val="18"/>
      <w:szCs w:val="18"/>
    </w:rPr>
  </w:style>
  <w:style w:type="paragraph" w:styleId="11">
    <w:name w:val="header"/>
    <w:basedOn w:val="1"/>
    <w:autoRedefine/>
    <w:unhideWhenUsed/>
    <w:qFormat/>
    <w:uiPriority w:val="99"/>
    <w:pPr>
      <w:pBdr>
        <w:bottom w:val="single" w:color="auto" w:sz="6" w:space="1"/>
      </w:pBdr>
      <w:tabs>
        <w:tab w:val="center" w:pos="4153"/>
        <w:tab w:val="right" w:pos="8306"/>
      </w:tabs>
      <w:jc w:val="center"/>
    </w:pPr>
    <w:rPr>
      <w:sz w:val="18"/>
      <w:szCs w:val="18"/>
    </w:rPr>
  </w:style>
  <w:style w:type="paragraph" w:styleId="12">
    <w:name w:val="Normal (Web)"/>
    <w:basedOn w:val="1"/>
    <w:autoRedefine/>
    <w:semiHidden/>
    <w:unhideWhenUsed/>
    <w:qFormat/>
    <w:uiPriority w:val="99"/>
    <w:pPr>
      <w:spacing w:before="100" w:beforeAutospacing="1" w:after="100" w:afterAutospacing="1"/>
    </w:pPr>
    <w:rPr>
      <w:rFonts w:ascii="宋体" w:hAnsi="宋体" w:eastAsia="宋体" w:cs="宋体"/>
      <w:sz w:val="24"/>
    </w:rPr>
  </w:style>
  <w:style w:type="paragraph" w:styleId="13">
    <w:name w:val="Body Text First Indent 2"/>
    <w:basedOn w:val="8"/>
    <w:autoRedefine/>
    <w:qFormat/>
    <w:uiPriority w:val="0"/>
    <w:pPr>
      <w:spacing w:after="120"/>
      <w:ind w:left="420" w:leftChars="200" w:firstLine="420" w:firstLineChars="200"/>
    </w:pPr>
    <w:rPr>
      <w:rFonts w:ascii="Times New Roman" w:hAnsi="Times New Roman" w:eastAsia="宋体" w:cs="Times New Roman"/>
      <w:sz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qFormat/>
    <w:uiPriority w:val="99"/>
    <w:rPr>
      <w:sz w:val="21"/>
      <w:szCs w:val="21"/>
    </w:rPr>
  </w:style>
  <w:style w:type="paragraph" w:customStyle="1" w:styleId="18">
    <w:name w:val="Char1"/>
    <w:basedOn w:val="1"/>
    <w:autoRedefine/>
    <w:qFormat/>
    <w:uiPriority w:val="0"/>
    <w:rPr>
      <w:szCs w:val="21"/>
    </w:rPr>
  </w:style>
  <w:style w:type="character" w:customStyle="1" w:styleId="19">
    <w:name w:val="font21"/>
    <w:basedOn w:val="16"/>
    <w:autoRedefine/>
    <w:qFormat/>
    <w:uiPriority w:val="0"/>
    <w:rPr>
      <w:rFonts w:hint="eastAsia" w:ascii="宋体" w:hAnsi="宋体" w:eastAsia="宋体" w:cs="宋体"/>
      <w:b/>
      <w:bCs/>
      <w:color w:val="000000"/>
      <w:sz w:val="22"/>
      <w:szCs w:val="22"/>
      <w:u w:val="none"/>
    </w:rPr>
  </w:style>
  <w:style w:type="character" w:customStyle="1" w:styleId="20">
    <w:name w:val="font01"/>
    <w:basedOn w:val="16"/>
    <w:autoRedefine/>
    <w:qFormat/>
    <w:uiPriority w:val="0"/>
    <w:rPr>
      <w:rFonts w:hint="eastAsia" w:ascii="宋体" w:hAnsi="宋体" w:eastAsia="宋体" w:cs="宋体"/>
      <w:color w:val="000000"/>
      <w:sz w:val="22"/>
      <w:szCs w:val="22"/>
      <w:u w:val="none"/>
    </w:rPr>
  </w:style>
  <w:style w:type="character" w:customStyle="1" w:styleId="21">
    <w:name w:val="apple-converted-space"/>
    <w:basedOn w:val="16"/>
    <w:autoRedefine/>
    <w:qFormat/>
    <w:uiPriority w:val="0"/>
  </w:style>
  <w:style w:type="paragraph" w:customStyle="1" w:styleId="22">
    <w:name w:val="null3"/>
    <w:autoRedefine/>
    <w:hidden/>
    <w:qFormat/>
    <w:uiPriority w:val="0"/>
    <w:rPr>
      <w:rFonts w:hint="eastAsia" w:asciiTheme="minorHAnsi" w:hAnsiTheme="minorHAnsi" w:eastAsiaTheme="minorEastAsia" w:cstheme="minorBidi"/>
      <w:lang w:val="en-US" w:eastAsia="zh-CN" w:bidi="ar-SA"/>
    </w:rPr>
  </w:style>
  <w:style w:type="paragraph" w:customStyle="1" w:styleId="23">
    <w:name w:val="Table Text"/>
    <w:basedOn w:val="1"/>
    <w:autoRedefine/>
    <w:semiHidden/>
    <w:qFormat/>
    <w:uiPriority w:val="0"/>
    <w:rPr>
      <w:rFonts w:ascii="宋体" w:hAnsi="宋体" w:eastAsia="宋体" w:cs="宋体"/>
      <w:sz w:val="19"/>
      <w:szCs w:val="19"/>
      <w:lang w:eastAsia="en-US"/>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Company>
  <Pages>7</Pages>
  <Words>4391</Words>
  <Characters>4498</Characters>
  <Lines>33</Lines>
  <Paragraphs>9</Paragraphs>
  <TotalTime>13</TotalTime>
  <ScaleCrop>false</ScaleCrop>
  <LinksUpToDate>false</LinksUpToDate>
  <CharactersWithSpaces>4510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2021-05-18T02:52:00Z</dcterms:created>
  <dc:creator>Dell</dc:creator>
  <cp:lastModifiedBy>宋思宇</cp:lastModifiedBy>
  <cp:lastPrinted>2023-10-24T03:01:00Z</cp:lastPrinted>
  <dcterms:modified xsi:type="dcterms:W3CDTF">2024-10-08T06:55:56Z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EDF375949ABB4B74A9B5E062EB2DE98E_13</vt:lpwstr>
  </property>
</Properties>
</file>