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28"/>
          <w:szCs w:val="28"/>
        </w:rPr>
      </w:pPr>
      <w:bookmarkStart w:id="0" w:name="_GoBack"/>
      <w:bookmarkEnd w:id="0"/>
      <w:r>
        <w:rPr>
          <w:rFonts w:hint="eastAsia"/>
        </w:rPr>
        <w:t>采购项目技术、服务、商务及其他要求</w:t>
      </w:r>
    </w:p>
    <w:p>
      <w:pPr>
        <w:ind w:firstLine="493"/>
      </w:pPr>
    </w:p>
    <w:p>
      <w:pPr>
        <w:pStyle w:val="23"/>
        <w:numPr>
          <w:ilvl w:val="0"/>
          <w:numId w:val="1"/>
        </w:numPr>
        <w:ind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rPr>
        <w:t>项目概况</w:t>
      </w:r>
    </w:p>
    <w:p>
      <w:pPr>
        <w:ind w:firstLine="495"/>
        <w:rPr>
          <w:rFonts w:hint="eastAsia" w:ascii="宋体" w:hAnsi="宋体" w:eastAsia="宋体" w:cs="宋体"/>
          <w:snapToGrid w:val="0"/>
          <w:sz w:val="24"/>
          <w:szCs w:val="24"/>
          <w:lang w:val="zh-TW"/>
        </w:rPr>
      </w:pPr>
      <w:r>
        <w:rPr>
          <w:rFonts w:hint="eastAsia" w:ascii="宋体" w:hAnsi="宋体" w:eastAsia="宋体" w:cs="宋体"/>
          <w:b/>
          <w:bCs/>
          <w:snapToGrid w:val="0"/>
          <w:sz w:val="24"/>
          <w:szCs w:val="24"/>
        </w:rPr>
        <w:t>项目概况：</w:t>
      </w:r>
      <w:r>
        <w:rPr>
          <w:rFonts w:hint="eastAsia" w:ascii="宋体" w:hAnsi="宋体" w:eastAsia="宋体" w:cs="宋体"/>
          <w:snapToGrid w:val="0"/>
          <w:sz w:val="24"/>
          <w:szCs w:val="24"/>
          <w:lang w:val="zh-TW"/>
        </w:rPr>
        <w:t>阿坝州林业中心医院污水处理站污水泵、污泥泵、回流泵、提升泵、送风曝气风机、自动控制系统、自动投药装置等污水处理装置进行更换，并加装在线余氯、</w:t>
      </w:r>
      <w:r>
        <w:rPr>
          <w:rFonts w:hint="eastAsia" w:ascii="宋体" w:hAnsi="宋体" w:eastAsia="宋体" w:cs="宋体"/>
          <w:snapToGrid w:val="0"/>
          <w:sz w:val="24"/>
          <w:szCs w:val="24"/>
        </w:rPr>
        <w:t>PH值检测设备和排水流量计，具体设备清单见下表。</w:t>
      </w:r>
      <w:r>
        <w:rPr>
          <w:rFonts w:hint="eastAsia" w:ascii="宋体" w:hAnsi="宋体" w:eastAsia="宋体" w:cs="宋体"/>
          <w:snapToGrid w:val="0"/>
          <w:sz w:val="24"/>
          <w:szCs w:val="24"/>
          <w:lang w:val="zh-TW"/>
        </w:rPr>
        <w:t>工程规模：日处理污水量不少于120吨，每天24小时运行。排放标准：执行《医疗机构水污染物排放标准》（GB18466-2005）预处理标准。处理工艺流程：后附。</w:t>
      </w:r>
    </w:p>
    <w:p>
      <w:pPr>
        <w:pStyle w:val="23"/>
        <w:numPr>
          <w:ilvl w:val="0"/>
          <w:numId w:val="1"/>
        </w:numPr>
        <w:ind w:firstLineChars="0"/>
        <w:rPr>
          <w:rFonts w:hint="eastAsia" w:ascii="宋体" w:hAnsi="宋体" w:eastAsia="宋体" w:cs="宋体"/>
          <w:snapToGrid w:val="0"/>
          <w:sz w:val="24"/>
          <w:szCs w:val="24"/>
        </w:rPr>
      </w:pPr>
      <w:r>
        <w:rPr>
          <w:rFonts w:hint="eastAsia" w:ascii="宋体" w:hAnsi="宋体" w:eastAsia="宋体" w:cs="宋体"/>
          <w:snapToGrid w:val="0"/>
          <w:sz w:val="24"/>
          <w:szCs w:val="24"/>
        </w:rPr>
        <w:t>采购内容</w:t>
      </w:r>
    </w:p>
    <w:tbl>
      <w:tblPr>
        <w:tblStyle w:val="14"/>
        <w:tblpPr w:leftFromText="180" w:rightFromText="180" w:vertAnchor="text" w:horzAnchor="page" w:tblpX="1560"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75"/>
        <w:gridCol w:w="3128"/>
        <w:gridCol w:w="1076"/>
        <w:gridCol w:w="164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b/>
                <w:snapToGrid w:val="0"/>
                <w:sz w:val="24"/>
                <w:szCs w:val="24"/>
                <w:lang w:val="zh-TW"/>
              </w:rPr>
            </w:pPr>
            <w:r>
              <w:rPr>
                <w:rFonts w:hint="eastAsia" w:ascii="宋体" w:hAnsi="宋体" w:eastAsia="宋体" w:cs="宋体"/>
                <w:b/>
                <w:snapToGrid w:val="0"/>
                <w:sz w:val="24"/>
                <w:szCs w:val="24"/>
                <w:lang w:val="zh-TW"/>
              </w:rPr>
              <w:t>序号</w:t>
            </w:r>
          </w:p>
        </w:tc>
        <w:tc>
          <w:tcPr>
            <w:tcW w:w="1975" w:type="dxa"/>
            <w:vAlign w:val="center"/>
          </w:tcPr>
          <w:p>
            <w:pPr>
              <w:spacing w:line="240" w:lineRule="auto"/>
              <w:ind w:firstLine="0" w:firstLineChars="0"/>
              <w:rPr>
                <w:rFonts w:hint="eastAsia" w:ascii="宋体" w:hAnsi="宋体" w:eastAsia="宋体" w:cs="宋体"/>
                <w:b/>
                <w:snapToGrid w:val="0"/>
                <w:sz w:val="24"/>
                <w:szCs w:val="24"/>
                <w:lang w:val="zh-TW"/>
              </w:rPr>
            </w:pPr>
            <w:r>
              <w:rPr>
                <w:rFonts w:hint="eastAsia" w:ascii="宋体" w:hAnsi="宋体" w:eastAsia="宋体" w:cs="宋体"/>
                <w:b/>
                <w:snapToGrid w:val="0"/>
                <w:sz w:val="24"/>
                <w:szCs w:val="24"/>
                <w:lang w:val="zh-TW"/>
              </w:rPr>
              <w:t>名称</w:t>
            </w:r>
          </w:p>
        </w:tc>
        <w:tc>
          <w:tcPr>
            <w:tcW w:w="3128" w:type="dxa"/>
          </w:tcPr>
          <w:p>
            <w:pPr>
              <w:spacing w:line="240" w:lineRule="auto"/>
              <w:ind w:firstLine="0" w:firstLineChars="0"/>
              <w:jc w:val="center"/>
              <w:rPr>
                <w:rFonts w:hint="eastAsia" w:ascii="宋体" w:hAnsi="宋体" w:eastAsia="宋体" w:cs="宋体"/>
                <w:b/>
                <w:snapToGrid w:val="0"/>
                <w:sz w:val="24"/>
                <w:szCs w:val="24"/>
                <w:lang w:val="zh-TW"/>
              </w:rPr>
            </w:pPr>
            <w:r>
              <w:rPr>
                <w:rFonts w:hint="eastAsia" w:ascii="宋体" w:hAnsi="宋体" w:eastAsia="宋体" w:cs="宋体"/>
                <w:b/>
                <w:snapToGrid w:val="0"/>
                <w:sz w:val="24"/>
                <w:szCs w:val="24"/>
                <w:lang w:val="zh-TW"/>
              </w:rPr>
              <w:t>规格</w:t>
            </w:r>
          </w:p>
        </w:tc>
        <w:tc>
          <w:tcPr>
            <w:tcW w:w="1076" w:type="dxa"/>
            <w:vAlign w:val="center"/>
          </w:tcPr>
          <w:p>
            <w:pPr>
              <w:spacing w:line="240" w:lineRule="auto"/>
              <w:ind w:firstLine="0" w:firstLineChars="0"/>
              <w:jc w:val="center"/>
              <w:rPr>
                <w:rFonts w:hint="eastAsia" w:ascii="宋体" w:hAnsi="宋体" w:eastAsia="宋体" w:cs="宋体"/>
                <w:b/>
                <w:snapToGrid w:val="0"/>
                <w:sz w:val="24"/>
                <w:szCs w:val="24"/>
                <w:lang w:val="zh-TW"/>
              </w:rPr>
            </w:pPr>
            <w:r>
              <w:rPr>
                <w:rFonts w:hint="eastAsia" w:ascii="宋体" w:hAnsi="宋体" w:eastAsia="宋体" w:cs="宋体"/>
                <w:b/>
                <w:snapToGrid w:val="0"/>
                <w:sz w:val="24"/>
                <w:szCs w:val="24"/>
                <w:lang w:val="zh-TW"/>
              </w:rPr>
              <w:t>数量</w:t>
            </w:r>
          </w:p>
        </w:tc>
        <w:tc>
          <w:tcPr>
            <w:tcW w:w="1643" w:type="dxa"/>
            <w:vAlign w:val="center"/>
          </w:tcPr>
          <w:p>
            <w:pPr>
              <w:spacing w:line="240" w:lineRule="auto"/>
              <w:ind w:firstLine="0" w:firstLineChars="0"/>
              <w:jc w:val="center"/>
              <w:rPr>
                <w:rFonts w:hint="eastAsia" w:ascii="宋体" w:hAnsi="宋体" w:eastAsia="宋体" w:cs="宋体"/>
                <w:b/>
                <w:snapToGrid w:val="0"/>
                <w:sz w:val="24"/>
                <w:szCs w:val="24"/>
                <w:lang w:val="zh-TW"/>
              </w:rPr>
            </w:pPr>
            <w:r>
              <w:rPr>
                <w:rFonts w:hint="eastAsia" w:ascii="宋体" w:hAnsi="宋体" w:eastAsia="宋体" w:cs="宋体"/>
                <w:b/>
                <w:snapToGrid w:val="0"/>
                <w:sz w:val="24"/>
                <w:szCs w:val="24"/>
                <w:lang w:val="zh-TW"/>
              </w:rPr>
              <w:t>最高限价（元）</w:t>
            </w:r>
          </w:p>
        </w:tc>
        <w:tc>
          <w:tcPr>
            <w:tcW w:w="825" w:type="dxa"/>
          </w:tcPr>
          <w:p>
            <w:pPr>
              <w:spacing w:line="240" w:lineRule="auto"/>
              <w:ind w:firstLine="0" w:firstLineChars="0"/>
              <w:jc w:val="center"/>
              <w:rPr>
                <w:rFonts w:hint="eastAsia" w:ascii="宋体" w:hAnsi="宋体" w:eastAsia="宋体" w:cs="宋体"/>
                <w:b/>
                <w:snapToGrid w:val="0"/>
                <w:sz w:val="24"/>
                <w:szCs w:val="24"/>
                <w:lang w:val="zh-TW"/>
              </w:rPr>
            </w:pPr>
            <w:r>
              <w:rPr>
                <w:rFonts w:hint="eastAsia" w:ascii="宋体" w:hAnsi="宋体" w:eastAsia="宋体" w:cs="宋体"/>
                <w:b/>
                <w:snapToGrid w:val="0"/>
                <w:sz w:val="24"/>
                <w:szCs w:val="24"/>
                <w:lang w:val="zh-TW"/>
              </w:rPr>
              <w:t>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污水提升泵（配液位控制启停装置）</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WQ 6-15-0.75</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2台</w:t>
            </w:r>
          </w:p>
        </w:tc>
        <w:tc>
          <w:tcPr>
            <w:tcW w:w="1643" w:type="dxa"/>
            <w:vMerge w:val="restart"/>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80000.00</w:t>
            </w:r>
          </w:p>
        </w:tc>
        <w:tc>
          <w:tcPr>
            <w:tcW w:w="825" w:type="dxa"/>
            <w:vMerge w:val="restart"/>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z w:val="24"/>
                <w:szCs w:val="24"/>
              </w:rPr>
              <w:t>≥</w:t>
            </w:r>
            <w:r>
              <w:rPr>
                <w:rFonts w:hint="eastAsia" w:ascii="宋体" w:hAnsi="宋体" w:eastAsia="宋体" w:cs="宋体"/>
                <w:snapToGrid w:val="0"/>
                <w:sz w:val="24"/>
                <w:szCs w:val="24"/>
                <w:lang w:val="zh-TW"/>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2</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污泥泵</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WQ 6-15-0.75</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1台</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3</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回流泵（配液位控制启停装置）</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WQ 6-15-0.75</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2台</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4</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格栅机维修</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对现有格珊机进行维修，达到正常使用标准</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1项</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5</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送风曝气风机（具备自动、联动、延时启停功能）</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HC－40S</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2套</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6</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z w:val="24"/>
                <w:szCs w:val="24"/>
              </w:rPr>
              <w:t>氧化池曝气盘</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215型</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8对</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7</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自动电气控制系统</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具备液位、延时、自动、手动控制功能，自动控制污水处理设施启停</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1套</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8</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二氧化氯自动投药装置</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具备定时、定量、联动延时投放二氧化氯消毒剂功能，可准确计量投放量</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1套</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9</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接触氧化池滤料更换</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MBBR</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6m3</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10</w:t>
            </w:r>
          </w:p>
        </w:tc>
        <w:tc>
          <w:tcPr>
            <w:tcW w:w="1975" w:type="dxa"/>
            <w:vAlign w:val="center"/>
          </w:tcPr>
          <w:p>
            <w:pPr>
              <w:spacing w:line="240" w:lineRule="auto"/>
              <w:ind w:firstLine="0" w:firstLineChars="0"/>
              <w:rPr>
                <w:rFonts w:hint="eastAsia" w:ascii="宋体" w:hAnsi="宋体" w:eastAsia="宋体" w:cs="宋体"/>
                <w:sz w:val="24"/>
                <w:szCs w:val="24"/>
              </w:rPr>
            </w:pPr>
            <w:r>
              <w:rPr>
                <w:rFonts w:hint="eastAsia" w:ascii="宋体" w:hAnsi="宋体" w:eastAsia="宋体" w:cs="宋体"/>
                <w:sz w:val="24"/>
                <w:szCs w:val="24"/>
              </w:rPr>
              <w:t>斜管沉淀池斜管更换</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斜管进水出水堰更换</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6m3</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11</w:t>
            </w:r>
          </w:p>
        </w:tc>
        <w:tc>
          <w:tcPr>
            <w:tcW w:w="1975" w:type="dxa"/>
            <w:vAlign w:val="center"/>
          </w:tcPr>
          <w:p>
            <w:pPr>
              <w:spacing w:line="240" w:lineRule="auto"/>
              <w:ind w:firstLine="0" w:firstLineChars="0"/>
              <w:rPr>
                <w:rFonts w:hint="eastAsia" w:ascii="宋体" w:hAnsi="宋体" w:eastAsia="宋体" w:cs="宋体"/>
                <w:snapToGrid w:val="0"/>
                <w:spacing w:val="11"/>
                <w:kern w:val="0"/>
                <w:sz w:val="24"/>
                <w:szCs w:val="24"/>
                <w:lang w:val="zh-TW"/>
              </w:rPr>
            </w:pPr>
            <w:r>
              <w:rPr>
                <w:rFonts w:hint="eastAsia" w:ascii="宋体" w:hAnsi="宋体" w:eastAsia="宋体" w:cs="宋体"/>
                <w:sz w:val="24"/>
                <w:szCs w:val="24"/>
              </w:rPr>
              <w:t>池体表面处理</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剔除防水，抹面，刷防水涂料两遍</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440m2</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12</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废气处理系统</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增设两级活性炭吸附箱，304不锈钢离心风机、20米160PVC管，高于房顶高空排放。排风量≥230m3/h</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1套</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13</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z w:val="24"/>
                <w:szCs w:val="24"/>
              </w:rPr>
              <w:t>巴歇尔槽</w:t>
            </w:r>
          </w:p>
        </w:tc>
        <w:tc>
          <w:tcPr>
            <w:tcW w:w="3128" w:type="dxa"/>
          </w:tcPr>
          <w:p>
            <w:pPr>
              <w:spacing w:line="240" w:lineRule="auto"/>
              <w:ind w:firstLine="0" w:firstLineChars="0"/>
              <w:rPr>
                <w:rFonts w:hint="eastAsia" w:ascii="宋体" w:hAnsi="宋体" w:eastAsia="宋体" w:cs="宋体"/>
                <w:snapToGrid w:val="0"/>
                <w:sz w:val="24"/>
                <w:szCs w:val="24"/>
                <w:lang w:val="zh-TW"/>
              </w:rPr>
            </w:pP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1个</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14</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z w:val="24"/>
                <w:szCs w:val="24"/>
              </w:rPr>
              <w:t>PH值、余氯在线监测一体机</w:t>
            </w:r>
          </w:p>
        </w:tc>
        <w:tc>
          <w:tcPr>
            <w:tcW w:w="3128" w:type="dxa"/>
          </w:tcPr>
          <w:p>
            <w:pPr>
              <w:spacing w:line="240" w:lineRule="auto"/>
              <w:ind w:firstLine="0" w:firstLineChars="0"/>
              <w:rPr>
                <w:rFonts w:hint="eastAsia" w:ascii="宋体" w:hAnsi="宋体" w:eastAsia="宋体" w:cs="宋体"/>
                <w:snapToGrid w:val="0"/>
                <w:sz w:val="24"/>
                <w:szCs w:val="24"/>
                <w:lang w:val="zh-TW" w:eastAsia="zh-TW"/>
              </w:rPr>
            </w:pP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1套</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15</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z w:val="24"/>
                <w:szCs w:val="24"/>
              </w:rPr>
              <w:t>明渠流量计</w:t>
            </w:r>
          </w:p>
        </w:tc>
        <w:tc>
          <w:tcPr>
            <w:tcW w:w="3128" w:type="dxa"/>
          </w:tcPr>
          <w:p>
            <w:pPr>
              <w:spacing w:line="240" w:lineRule="auto"/>
              <w:ind w:firstLine="0" w:firstLineChars="0"/>
              <w:rPr>
                <w:rFonts w:hint="eastAsia" w:ascii="宋体" w:hAnsi="宋体" w:eastAsia="宋体" w:cs="宋体"/>
                <w:snapToGrid w:val="0"/>
                <w:sz w:val="24"/>
                <w:szCs w:val="24"/>
                <w:lang w:val="zh-TW"/>
              </w:rPr>
            </w:pP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1套</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16</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配套电缆及管阀</w:t>
            </w:r>
          </w:p>
        </w:tc>
        <w:tc>
          <w:tcPr>
            <w:tcW w:w="3128" w:type="dxa"/>
          </w:tcPr>
          <w:p>
            <w:pPr>
              <w:spacing w:line="240" w:lineRule="auto"/>
              <w:ind w:firstLine="0" w:firstLineChars="0"/>
              <w:rPr>
                <w:rFonts w:hint="eastAsia" w:ascii="宋体" w:hAnsi="宋体" w:eastAsia="宋体" w:cs="宋体"/>
                <w:snapToGrid w:val="0"/>
                <w:sz w:val="24"/>
                <w:szCs w:val="24"/>
                <w:lang w:val="zh-TW"/>
              </w:rPr>
            </w:pP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1批</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17</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污水流向管路改造</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需完全符合医院污水处理工艺流程</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1项</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18</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调节池、沉淀池、氧化池、预留口加盖密封</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对所有预留口进行加盖密封处理，达到无异味溢出</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1项</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240" w:lineRule="auto"/>
              <w:ind w:firstLine="0" w:firstLineChars="0"/>
              <w:jc w:val="center"/>
              <w:rPr>
                <w:rFonts w:hint="eastAsia" w:ascii="宋体" w:hAnsi="宋体" w:eastAsia="宋体" w:cs="宋体"/>
                <w:snapToGrid w:val="0"/>
                <w:sz w:val="24"/>
                <w:szCs w:val="24"/>
              </w:rPr>
            </w:pPr>
            <w:r>
              <w:rPr>
                <w:rFonts w:hint="eastAsia" w:ascii="宋体" w:hAnsi="宋体" w:eastAsia="宋体" w:cs="宋体"/>
                <w:snapToGrid w:val="0"/>
                <w:sz w:val="24"/>
                <w:szCs w:val="24"/>
              </w:rPr>
              <w:t>19</w:t>
            </w:r>
          </w:p>
        </w:tc>
        <w:tc>
          <w:tcPr>
            <w:tcW w:w="1975" w:type="dxa"/>
            <w:vAlign w:val="center"/>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二氧化氯储药桶</w:t>
            </w:r>
          </w:p>
        </w:tc>
        <w:tc>
          <w:tcPr>
            <w:tcW w:w="3128" w:type="dxa"/>
          </w:tcPr>
          <w:p>
            <w:pPr>
              <w:spacing w:line="240" w:lineRule="auto"/>
              <w:ind w:firstLine="0" w:firstLineChars="0"/>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1000L</w:t>
            </w:r>
          </w:p>
        </w:tc>
        <w:tc>
          <w:tcPr>
            <w:tcW w:w="1076" w:type="dxa"/>
            <w:vAlign w:val="center"/>
          </w:tcPr>
          <w:p>
            <w:pPr>
              <w:spacing w:line="240" w:lineRule="auto"/>
              <w:ind w:firstLine="0" w:firstLineChars="0"/>
              <w:jc w:val="center"/>
              <w:rPr>
                <w:rFonts w:hint="eastAsia" w:ascii="宋体" w:hAnsi="宋体" w:eastAsia="宋体" w:cs="宋体"/>
                <w:snapToGrid w:val="0"/>
                <w:sz w:val="24"/>
                <w:szCs w:val="24"/>
                <w:lang w:val="zh-TW"/>
              </w:rPr>
            </w:pPr>
            <w:r>
              <w:rPr>
                <w:rFonts w:hint="eastAsia" w:ascii="宋体" w:hAnsi="宋体" w:eastAsia="宋体" w:cs="宋体"/>
                <w:snapToGrid w:val="0"/>
                <w:sz w:val="24"/>
                <w:szCs w:val="24"/>
                <w:lang w:val="zh-TW"/>
              </w:rPr>
              <w:t>1个</w:t>
            </w:r>
          </w:p>
        </w:tc>
        <w:tc>
          <w:tcPr>
            <w:tcW w:w="1643" w:type="dxa"/>
            <w:vMerge w:val="continue"/>
            <w:vAlign w:val="center"/>
          </w:tcPr>
          <w:p>
            <w:pPr>
              <w:spacing w:line="240" w:lineRule="auto"/>
              <w:ind w:firstLine="0" w:firstLineChars="0"/>
              <w:jc w:val="center"/>
              <w:rPr>
                <w:rFonts w:hint="eastAsia" w:ascii="宋体" w:hAnsi="宋体" w:eastAsia="宋体" w:cs="宋体"/>
                <w:snapToGrid w:val="0"/>
                <w:sz w:val="24"/>
                <w:szCs w:val="24"/>
                <w:lang w:val="zh-TW"/>
              </w:rPr>
            </w:pPr>
          </w:p>
        </w:tc>
        <w:tc>
          <w:tcPr>
            <w:tcW w:w="825" w:type="dxa"/>
            <w:vMerge w:val="continue"/>
          </w:tcPr>
          <w:p>
            <w:pPr>
              <w:spacing w:line="240" w:lineRule="auto"/>
              <w:ind w:firstLine="0" w:firstLineChars="0"/>
              <w:rPr>
                <w:rFonts w:hint="eastAsia" w:ascii="宋体" w:hAnsi="宋体" w:eastAsia="宋体" w:cs="宋体"/>
                <w:snapToGrid w:val="0"/>
                <w:sz w:val="24"/>
                <w:szCs w:val="24"/>
                <w:lang w:val="zh-TW"/>
              </w:rPr>
            </w:pPr>
          </w:p>
        </w:tc>
      </w:tr>
    </w:tbl>
    <w:p>
      <w:pPr>
        <w:ind w:firstLine="493"/>
        <w:rPr>
          <w:rFonts w:hint="eastAsia" w:ascii="宋体" w:hAnsi="宋体" w:eastAsia="宋体" w:cs="宋体"/>
          <w:snapToGrid w:val="0"/>
          <w:sz w:val="24"/>
          <w:szCs w:val="24"/>
          <w:lang w:val="zh-TW"/>
        </w:rPr>
      </w:pPr>
    </w:p>
    <w:p>
      <w:pPr>
        <w:pStyle w:val="23"/>
        <w:numPr>
          <w:ilvl w:val="0"/>
          <w:numId w:val="1"/>
        </w:numPr>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总体商务、服务要求及履约主要条款（实质性要求） </w:t>
      </w:r>
    </w:p>
    <w:p>
      <w:pPr>
        <w:pStyle w:val="23"/>
        <w:numPr>
          <w:ilvl w:val="0"/>
          <w:numId w:val="2"/>
        </w:numPr>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服务地点：阿坝州林业中心医院。 </w:t>
      </w:r>
    </w:p>
    <w:p>
      <w:pPr>
        <w:pStyle w:val="23"/>
        <w:numPr>
          <w:ilvl w:val="0"/>
          <w:numId w:val="2"/>
        </w:numPr>
        <w:rPr>
          <w:rFonts w:hint="eastAsia" w:ascii="宋体" w:hAnsi="宋体" w:eastAsia="宋体" w:cs="宋体"/>
          <w:snapToGrid w:val="0"/>
          <w:sz w:val="24"/>
          <w:szCs w:val="24"/>
        </w:rPr>
      </w:pPr>
      <w:r>
        <w:rPr>
          <w:rFonts w:hint="eastAsia" w:ascii="宋体" w:hAnsi="宋体" w:eastAsia="宋体" w:cs="宋体"/>
          <w:snapToGrid w:val="0"/>
          <w:sz w:val="24"/>
          <w:szCs w:val="24"/>
        </w:rPr>
        <w:t xml:space="preserve">交货时间：自合同签订之日起30天内。 </w:t>
      </w:r>
    </w:p>
    <w:p>
      <w:pPr>
        <w:pStyle w:val="23"/>
        <w:numPr>
          <w:ilvl w:val="0"/>
          <w:numId w:val="2"/>
        </w:numPr>
        <w:rPr>
          <w:rFonts w:hint="eastAsia" w:ascii="宋体" w:hAnsi="宋体" w:eastAsia="宋体" w:cs="宋体"/>
          <w:snapToGrid w:val="0"/>
          <w:sz w:val="24"/>
          <w:szCs w:val="24"/>
        </w:rPr>
      </w:pPr>
      <w:r>
        <w:rPr>
          <w:rFonts w:hint="eastAsia" w:ascii="宋体" w:hAnsi="宋体" w:eastAsia="宋体" w:cs="宋体"/>
          <w:snapToGrid w:val="0"/>
          <w:sz w:val="24"/>
          <w:szCs w:val="24"/>
        </w:rPr>
        <w:t>付款方法和条件：</w:t>
      </w:r>
    </w:p>
    <w:p>
      <w:pPr>
        <w:pStyle w:val="11"/>
        <w:spacing w:after="0"/>
        <w:ind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1.验收合格后达到付款条件起30日内，支付合同总金额的95%，</w:t>
      </w:r>
    </w:p>
    <w:p>
      <w:pPr>
        <w:pStyle w:val="11"/>
        <w:spacing w:after="0"/>
        <w:ind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2.质保期结束后达到付款条件起30日内，支付合同总金额的5%。</w:t>
      </w:r>
    </w:p>
    <w:p>
      <w:pPr>
        <w:pStyle w:val="11"/>
        <w:spacing w:after="0"/>
        <w:ind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（四）包装方式及运输</w:t>
      </w:r>
    </w:p>
    <w:p>
      <w:pPr>
        <w:pStyle w:val="11"/>
        <w:spacing w:after="0"/>
        <w:ind w:firstLineChars="200"/>
        <w:rPr>
          <w:rFonts w:hint="eastAsia" w:ascii="宋体" w:hAnsi="宋体" w:eastAsia="宋体" w:cs="宋体"/>
          <w:sz w:val="24"/>
          <w:szCs w:val="24"/>
        </w:rPr>
      </w:pPr>
      <w:r>
        <w:rPr>
          <w:rFonts w:hint="eastAsia" w:ascii="宋体" w:hAnsi="宋体" w:eastAsia="宋体" w:cs="宋体"/>
          <w:sz w:val="24"/>
          <w:szCs w:val="24"/>
        </w:rPr>
        <w:t>包装应适应于远距离运输、防潮、防震、防锈和防野蛮装卸，以确保货物安全无损运抵指定地点。</w:t>
      </w:r>
    </w:p>
    <w:p>
      <w:pPr>
        <w:pStyle w:val="11"/>
        <w:spacing w:after="0"/>
        <w:ind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（五）项目验收和保修期</w:t>
      </w:r>
    </w:p>
    <w:p>
      <w:pPr>
        <w:pStyle w:val="11"/>
        <w:spacing w:after="0"/>
        <w:ind w:firstLineChars="200"/>
        <w:rPr>
          <w:rFonts w:hint="eastAsia" w:ascii="宋体" w:hAnsi="宋体" w:eastAsia="宋体" w:cs="宋体"/>
          <w:sz w:val="24"/>
          <w:szCs w:val="24"/>
        </w:rPr>
      </w:pPr>
      <w:r>
        <w:rPr>
          <w:rFonts w:hint="eastAsia" w:ascii="宋体" w:hAnsi="宋体" w:eastAsia="宋体" w:cs="宋体"/>
          <w:sz w:val="24"/>
          <w:szCs w:val="24"/>
        </w:rPr>
        <w:t>1.项目验收标准：完成全部项目设备设施安装改造、调试，严格按照项目污水处理工艺流程实施并保证污水从调节池抽取到排放口排放全过程符合工艺流程要求，经连续试运行3个月且在此期间所排放污水各项监测指标所有频次检测结果全部达到医院污水排放标准后，方能进行最终验收。</w:t>
      </w:r>
    </w:p>
    <w:p>
      <w:pPr>
        <w:pStyle w:val="11"/>
        <w:spacing w:after="0"/>
        <w:ind w:firstLineChars="200"/>
        <w:rPr>
          <w:rFonts w:hint="eastAsia" w:ascii="宋体" w:hAnsi="宋体" w:eastAsia="宋体" w:cs="宋体"/>
          <w:snapToGrid w:val="0"/>
          <w:spacing w:val="11"/>
          <w:kern w:val="0"/>
          <w:sz w:val="24"/>
          <w:szCs w:val="24"/>
        </w:rPr>
      </w:pPr>
      <w:r>
        <w:rPr>
          <w:rFonts w:hint="eastAsia" w:ascii="宋体" w:hAnsi="宋体" w:eastAsia="宋体" w:cs="宋体"/>
          <w:sz w:val="24"/>
          <w:szCs w:val="24"/>
        </w:rPr>
        <w:t>2.电气设备质保期≥ 24 个月（自最终验收合格之日起）。质保期内出现质量问题，供应商在接到通知后 1小时内响应，24 小时内到达现场并完成维修或更换，并承担修理调换的费用；成交供应商接到通知后未按时进行维修或更换的，采购人有权委托第三方进行维修或更换，费用由成交供应商支付。2.成交供应商须指派专人负责与采购人联系售后服务事宜。</w:t>
      </w:r>
    </w:p>
    <w:p>
      <w:pPr>
        <w:pStyle w:val="11"/>
        <w:spacing w:after="0"/>
        <w:ind w:firstLineChars="200"/>
        <w:rPr>
          <w:rFonts w:hint="eastAsia" w:ascii="宋体" w:hAnsi="宋体" w:eastAsia="宋体" w:cs="宋体"/>
          <w:snapToGrid w:val="0"/>
          <w:sz w:val="24"/>
          <w:szCs w:val="24"/>
        </w:rPr>
      </w:pPr>
      <w:r>
        <w:rPr>
          <w:rFonts w:hint="eastAsia" w:ascii="宋体" w:hAnsi="宋体" w:eastAsia="宋体" w:cs="宋体"/>
          <w:snapToGrid w:val="0"/>
          <w:sz w:val="24"/>
          <w:szCs w:val="24"/>
        </w:rPr>
        <w:t>（六）其他要求</w:t>
      </w:r>
    </w:p>
    <w:p>
      <w:pPr>
        <w:pStyle w:val="11"/>
        <w:spacing w:after="0"/>
        <w:ind w:firstLine="524" w:firstLineChars="200"/>
        <w:rPr>
          <w:rFonts w:hint="eastAsia" w:ascii="宋体" w:hAnsi="宋体" w:eastAsia="宋体" w:cs="宋体"/>
          <w:sz w:val="24"/>
          <w:szCs w:val="24"/>
        </w:rPr>
      </w:pPr>
      <w:r>
        <w:rPr>
          <w:rFonts w:hint="eastAsia" w:ascii="宋体" w:hAnsi="宋体" w:eastAsia="宋体" w:cs="宋体"/>
          <w:snapToGrid w:val="0"/>
          <w:spacing w:val="11"/>
          <w:kern w:val="0"/>
          <w:sz w:val="24"/>
          <w:szCs w:val="24"/>
        </w:rPr>
        <w:t>1.成交供应商需提供承诺函，检测结果需符合国家</w:t>
      </w:r>
      <w:r>
        <w:rPr>
          <w:rFonts w:hint="eastAsia" w:ascii="宋体" w:hAnsi="宋体" w:eastAsia="宋体" w:cs="宋体"/>
          <w:sz w:val="24"/>
          <w:szCs w:val="24"/>
        </w:rPr>
        <w:t>《医疗机构水污染物排放标准》(GB 18466-2005)；《污水综合排放标准》(GB8978-1996)；《医院污水处理工程技术规范》(HJ 2029-2013)。</w:t>
      </w:r>
    </w:p>
    <w:p>
      <w:pPr>
        <w:pStyle w:val="11"/>
        <w:spacing w:after="0"/>
        <w:ind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napToGrid w:val="0"/>
          <w:spacing w:val="11"/>
          <w:kern w:val="0"/>
          <w:sz w:val="24"/>
          <w:szCs w:val="24"/>
        </w:rPr>
        <w:t xml:space="preserve"> 成交供应商</w:t>
      </w:r>
      <w:r>
        <w:rPr>
          <w:rFonts w:hint="eastAsia" w:ascii="宋体" w:hAnsi="宋体" w:eastAsia="宋体" w:cs="宋体"/>
          <w:sz w:val="24"/>
          <w:szCs w:val="24"/>
        </w:rPr>
        <w:t>项目施工须严格按照相关行业标准进行，并严格执行安全生产管理规定，此项目的所有安全责任由</w:t>
      </w:r>
      <w:r>
        <w:rPr>
          <w:rFonts w:hint="eastAsia" w:ascii="宋体" w:hAnsi="宋体" w:eastAsia="宋体" w:cs="宋体"/>
          <w:snapToGrid w:val="0"/>
          <w:spacing w:val="11"/>
          <w:kern w:val="0"/>
          <w:sz w:val="24"/>
          <w:szCs w:val="24"/>
        </w:rPr>
        <w:t>成交供应商</w:t>
      </w:r>
      <w:r>
        <w:rPr>
          <w:rFonts w:hint="eastAsia" w:ascii="宋体" w:hAnsi="宋体" w:eastAsia="宋体" w:cs="宋体"/>
          <w:sz w:val="24"/>
          <w:szCs w:val="24"/>
        </w:rPr>
        <w:t>负责。在项目施工过程中出现的任何安全事故，全部后果均由</w:t>
      </w:r>
      <w:r>
        <w:rPr>
          <w:rFonts w:hint="eastAsia" w:ascii="宋体" w:hAnsi="宋体" w:eastAsia="宋体" w:cs="宋体"/>
          <w:snapToGrid w:val="0"/>
          <w:spacing w:val="11"/>
          <w:kern w:val="0"/>
          <w:sz w:val="24"/>
          <w:szCs w:val="24"/>
        </w:rPr>
        <w:t>成交供应商</w:t>
      </w:r>
      <w:r>
        <w:rPr>
          <w:rFonts w:hint="eastAsia" w:ascii="宋体" w:hAnsi="宋体" w:eastAsia="宋体" w:cs="宋体"/>
          <w:sz w:val="24"/>
          <w:szCs w:val="24"/>
        </w:rPr>
        <w:t>承担，与医院无关。需提供承诺函。</w:t>
      </w:r>
    </w:p>
    <w:p>
      <w:pPr>
        <w:pStyle w:val="11"/>
        <w:spacing w:after="0"/>
        <w:ind w:firstLineChars="200"/>
        <w:rPr>
          <w:rFonts w:hint="eastAsia" w:ascii="宋体" w:hAnsi="宋体" w:eastAsia="宋体" w:cs="宋体"/>
          <w:snapToGrid w:val="0"/>
          <w:spacing w:val="11"/>
          <w:kern w:val="0"/>
          <w:sz w:val="24"/>
          <w:szCs w:val="24"/>
        </w:rPr>
      </w:pPr>
      <w:r>
        <w:rPr>
          <w:rFonts w:hint="eastAsia" w:ascii="宋体" w:hAnsi="宋体" w:eastAsia="宋体" w:cs="宋体"/>
          <w:sz w:val="24"/>
          <w:szCs w:val="24"/>
        </w:rPr>
        <w:t>3.此项目的设施设备、配套线材、管件以及安装调试、项目施工所需材料、人工、运输、税费等全部费用均包含在内。</w:t>
      </w:r>
    </w:p>
    <w:p>
      <w:pPr>
        <w:pStyle w:val="11"/>
        <w:ind w:firstLine="0" w:firstLineChars="0"/>
        <w:rPr>
          <w:rFonts w:hint="eastAsia" w:ascii="宋体" w:hAnsi="宋体" w:eastAsia="宋体" w:cs="宋体"/>
          <w:snapToGrid w:val="0"/>
          <w:sz w:val="24"/>
          <w:szCs w:val="24"/>
        </w:rPr>
        <w:sectPr>
          <w:pgSz w:w="11906" w:h="16838"/>
          <w:pgMar w:top="1134" w:right="1134" w:bottom="1134" w:left="1134" w:header="851" w:footer="992" w:gutter="0"/>
          <w:cols w:space="0" w:num="1"/>
          <w:docGrid w:type="lines" w:linePitch="312" w:charSpace="0"/>
        </w:sectPr>
      </w:pPr>
    </w:p>
    <w:p>
      <w:pPr>
        <w:pStyle w:val="11"/>
        <w:widowControl/>
        <w:spacing w:line="360" w:lineRule="auto"/>
        <w:ind w:firstLine="0" w:firstLineChars="0"/>
        <w:rPr>
          <w:rFonts w:ascii="宋体" w:cs="宋体"/>
          <w:snapToGrid w:val="0"/>
          <w:spacing w:val="11"/>
          <w:kern w:val="0"/>
          <w:sz w:val="24"/>
        </w:rPr>
      </w:pPr>
    </w:p>
    <w:p>
      <w:pPr>
        <w:pStyle w:val="3"/>
        <w:spacing w:before="0" w:after="0" w:line="120" w:lineRule="auto"/>
        <w:jc w:val="center"/>
        <w:rPr>
          <w:sz w:val="28"/>
          <w:szCs w:val="28"/>
        </w:rPr>
      </w:pPr>
      <w:r>
        <w:rPr>
          <w:rFonts w:hint="eastAsia"/>
          <w:sz w:val="28"/>
          <w:szCs w:val="28"/>
        </w:rPr>
        <w:t>评分方法</w:t>
      </w:r>
    </w:p>
    <w:p>
      <w:pPr>
        <w:pStyle w:val="3"/>
        <w:numPr>
          <w:ilvl w:val="0"/>
          <w:numId w:val="3"/>
        </w:numPr>
        <w:spacing w:before="0" w:after="0" w:line="120" w:lineRule="auto"/>
        <w:rPr>
          <w:rFonts w:ascii="宋体" w:hAnsi="宋体" w:eastAsia="宋体" w:cs="宋体"/>
          <w:b w:val="0"/>
          <w:bCs w:val="0"/>
          <w:sz w:val="24"/>
          <w:szCs w:val="24"/>
        </w:rPr>
      </w:pPr>
      <w:r>
        <w:rPr>
          <w:rFonts w:hint="eastAsia" w:ascii="宋体" w:hAnsi="宋体" w:eastAsia="宋体" w:cs="宋体"/>
          <w:b w:val="0"/>
          <w:bCs w:val="0"/>
          <w:sz w:val="24"/>
          <w:szCs w:val="24"/>
        </w:rPr>
        <w:t>本项目采取综合评分法。</w:t>
      </w:r>
    </w:p>
    <w:p/>
    <w:tbl>
      <w:tblPr>
        <w:tblStyle w:val="13"/>
        <w:tblpPr w:leftFromText="180" w:rightFromText="180" w:vertAnchor="text" w:horzAnchor="page" w:tblpX="1060" w:tblpY="84"/>
        <w:tblOverlap w:val="never"/>
        <w:tblW w:w="14693" w:type="dxa"/>
        <w:tblInd w:w="0" w:type="dxa"/>
        <w:tblLayout w:type="autofit"/>
        <w:tblCellMar>
          <w:top w:w="0" w:type="dxa"/>
          <w:left w:w="108" w:type="dxa"/>
          <w:bottom w:w="0" w:type="dxa"/>
          <w:right w:w="108" w:type="dxa"/>
        </w:tblCellMar>
      </w:tblPr>
      <w:tblGrid>
        <w:gridCol w:w="656"/>
        <w:gridCol w:w="1531"/>
        <w:gridCol w:w="709"/>
        <w:gridCol w:w="11797"/>
      </w:tblGrid>
      <w:tr>
        <w:tblPrEx>
          <w:tblCellMar>
            <w:top w:w="0" w:type="dxa"/>
            <w:left w:w="108" w:type="dxa"/>
            <w:bottom w:w="0" w:type="dxa"/>
            <w:right w:w="108" w:type="dxa"/>
          </w:tblCellMar>
        </w:tblPrEx>
        <w:trPr>
          <w:trHeight w:val="554"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spacing w:before="0" w:after="0" w:line="120" w:lineRule="auto"/>
              <w:jc w:val="center"/>
              <w:rPr>
                <w:rFonts w:ascii="宋体" w:hAnsi="宋体" w:eastAsia="宋体" w:cs="宋体"/>
                <w:color w:val="000000"/>
                <w:sz w:val="22"/>
                <w:szCs w:val="22"/>
              </w:rPr>
            </w:pPr>
            <w:r>
              <w:rPr>
                <w:rFonts w:hint="eastAsia" w:ascii="宋体" w:hAnsi="宋体" w:eastAsia="宋体" w:cs="宋体"/>
                <w:color w:val="000000"/>
                <w:kern w:val="0"/>
                <w:sz w:val="22"/>
                <w:szCs w:val="22"/>
              </w:rPr>
              <w:t>污水处理站改造项目比选评分因素</w:t>
            </w:r>
          </w:p>
        </w:tc>
      </w:tr>
      <w:tr>
        <w:tblPrEx>
          <w:tblCellMar>
            <w:top w:w="0" w:type="dxa"/>
            <w:left w:w="108" w:type="dxa"/>
            <w:bottom w:w="0" w:type="dxa"/>
            <w:right w:w="108" w:type="dxa"/>
          </w:tblCellMar>
        </w:tblPrEx>
        <w:trPr>
          <w:trHeight w:val="521"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评价因素</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r>
      <w:tr>
        <w:tblPrEx>
          <w:tblCellMar>
            <w:top w:w="0" w:type="dxa"/>
            <w:left w:w="108" w:type="dxa"/>
            <w:bottom w:w="0" w:type="dxa"/>
            <w:right w:w="108" w:type="dxa"/>
          </w:tblCellMar>
        </w:tblPrEx>
        <w:trPr>
          <w:trHeight w:val="65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报价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val="en-US" w:eastAsia="zh-CN"/>
              </w:rPr>
              <w:t>2</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sz w:val="22"/>
                <w:szCs w:val="22"/>
              </w:rPr>
              <w:t>综合评分法中的价格分统一采用低价优先法计算，即满足招标文件要求且投标价格最低的投标报价为评标基准价，其价格分为满分。其他参选人的价格分统一按照下列公式计算：投标报价得分=(评标基准价／投标报价)×100×权重</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业绩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12</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bidi w:val="0"/>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供应商提供类似项目业绩，每提供 1个得2分，最多得 12 分。</w:t>
            </w:r>
          </w:p>
          <w:p>
            <w:pPr>
              <w:pStyle w:val="2"/>
              <w:rPr>
                <w:sz w:val="22"/>
                <w:szCs w:val="22"/>
              </w:rPr>
            </w:pPr>
            <w:r>
              <w:rPr>
                <w:rFonts w:hint="eastAsia" w:ascii="宋体" w:hAnsi="宋体" w:eastAsia="宋体" w:cs="宋体"/>
                <w:b/>
                <w:bCs/>
                <w:color w:val="000000"/>
                <w:kern w:val="2"/>
                <w:sz w:val="22"/>
                <w:szCs w:val="22"/>
                <w:lang w:val="en-US" w:eastAsia="zh-CN" w:bidi="ar-SA"/>
              </w:rPr>
              <w:t>注：提供中标（成交）通知书或合同复印件加盖供应商公章，未提供或未盖章的不得分。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项目实施方案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35</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根据供应商针对本项目的实施方案（包含：①整体</w:t>
            </w:r>
            <w:r>
              <w:rPr>
                <w:rFonts w:hint="eastAsia" w:ascii="宋体" w:hAnsi="宋体" w:eastAsia="宋体" w:cs="宋体"/>
                <w:color w:val="000000"/>
                <w:sz w:val="22"/>
                <w:szCs w:val="22"/>
                <w:lang w:eastAsia="zh-CN"/>
              </w:rPr>
              <w:t>方案</w:t>
            </w:r>
            <w:r>
              <w:rPr>
                <w:rFonts w:hint="eastAsia" w:ascii="宋体" w:hAnsi="宋体" w:eastAsia="宋体" w:cs="宋体"/>
                <w:color w:val="000000"/>
                <w:sz w:val="22"/>
                <w:szCs w:val="22"/>
              </w:rPr>
              <w:t>②组织方案③人员配置及分工④应急预案⑤时间进度安排等），方案包含以上全部内容得</w:t>
            </w:r>
            <w:r>
              <w:rPr>
                <w:rFonts w:hint="eastAsia" w:ascii="宋体" w:hAnsi="宋体" w:eastAsia="宋体" w:cs="宋体"/>
                <w:color w:val="000000"/>
                <w:sz w:val="22"/>
                <w:szCs w:val="22"/>
                <w:lang w:val="en-US" w:eastAsia="zh-CN"/>
              </w:rPr>
              <w:t>25</w:t>
            </w:r>
            <w:r>
              <w:rPr>
                <w:rFonts w:hint="eastAsia" w:ascii="宋体" w:hAnsi="宋体" w:eastAsia="宋体" w:cs="宋体"/>
                <w:color w:val="000000"/>
                <w:sz w:val="22"/>
                <w:szCs w:val="22"/>
              </w:rPr>
              <w:t>分，每有一项缺失扣</w:t>
            </w:r>
            <w:r>
              <w:rPr>
                <w:rFonts w:hint="eastAsia" w:ascii="宋体" w:hAnsi="宋体" w:eastAsia="宋体" w:cs="宋体"/>
                <w:color w:val="000000"/>
                <w:sz w:val="22"/>
                <w:szCs w:val="22"/>
                <w:lang w:val="en-US" w:eastAsia="zh-CN"/>
              </w:rPr>
              <w:t>5</w:t>
            </w:r>
            <w:r>
              <w:rPr>
                <w:rFonts w:hint="eastAsia" w:ascii="宋体" w:hAnsi="宋体" w:eastAsia="宋体" w:cs="宋体"/>
                <w:color w:val="000000"/>
                <w:sz w:val="22"/>
                <w:szCs w:val="22"/>
              </w:rPr>
              <w:t>分；方案包含以上全部内容的基础上，每一项内容全面合理、详细完善、可行性高、职责清晰、各类措施运用合理的加</w:t>
            </w:r>
            <w:r>
              <w:rPr>
                <w:rFonts w:hint="eastAsia" w:ascii="宋体" w:hAnsi="宋体" w:eastAsia="宋体" w:cs="宋体"/>
                <w:color w:val="000000"/>
                <w:sz w:val="22"/>
                <w:szCs w:val="22"/>
                <w:lang w:val="en-US" w:eastAsia="zh-CN"/>
              </w:rPr>
              <w:t>2</w:t>
            </w:r>
            <w:r>
              <w:rPr>
                <w:rFonts w:hint="eastAsia" w:ascii="宋体" w:hAnsi="宋体" w:eastAsia="宋体" w:cs="宋体"/>
                <w:color w:val="000000"/>
                <w:sz w:val="22"/>
                <w:szCs w:val="22"/>
              </w:rPr>
              <w:t xml:space="preserve"> 分，最多加</w:t>
            </w:r>
            <w:r>
              <w:rPr>
                <w:rFonts w:hint="eastAsia" w:ascii="宋体" w:hAnsi="宋体" w:eastAsia="宋体" w:cs="宋体"/>
                <w:color w:val="000000"/>
                <w:sz w:val="22"/>
                <w:szCs w:val="22"/>
                <w:lang w:val="en-US" w:eastAsia="zh-CN"/>
              </w:rPr>
              <w:t>10</w:t>
            </w:r>
            <w:r>
              <w:rPr>
                <w:rFonts w:hint="eastAsia" w:ascii="宋体" w:hAnsi="宋体" w:eastAsia="宋体" w:cs="宋体"/>
                <w:color w:val="000000"/>
                <w:sz w:val="22"/>
                <w:szCs w:val="22"/>
              </w:rPr>
              <w:t xml:space="preserve"> 分；本项最高得 </w:t>
            </w:r>
            <w:r>
              <w:rPr>
                <w:rFonts w:hint="eastAsia" w:ascii="宋体" w:hAnsi="宋体" w:eastAsia="宋体" w:cs="宋体"/>
                <w:color w:val="000000"/>
                <w:sz w:val="22"/>
                <w:szCs w:val="22"/>
                <w:lang w:val="en-US" w:eastAsia="zh-CN"/>
              </w:rPr>
              <w:t>35</w:t>
            </w:r>
            <w:r>
              <w:rPr>
                <w:rFonts w:hint="eastAsia" w:ascii="宋体" w:hAnsi="宋体" w:eastAsia="宋体" w:cs="宋体"/>
                <w:color w:val="000000"/>
                <w:sz w:val="22"/>
                <w:szCs w:val="22"/>
              </w:rPr>
              <w:t xml:space="preserve"> 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售后服务方案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28</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sz w:val="22"/>
                <w:szCs w:val="22"/>
              </w:rPr>
              <w:t>根据供应商针对本项目的售后服务方案（包含：①质保承诺以及售后服务保障措施②</w:t>
            </w:r>
            <w:r>
              <w:rPr>
                <w:rFonts w:hint="eastAsia" w:ascii="宋体" w:hAnsi="宋体" w:eastAsia="宋体" w:cs="宋体"/>
                <w:sz w:val="22"/>
                <w:szCs w:val="22"/>
                <w:lang w:val="en-US" w:eastAsia="zh-CN"/>
              </w:rPr>
              <w:t>产品质量及安全保证措施</w:t>
            </w:r>
            <w:r>
              <w:rPr>
                <w:rFonts w:hint="eastAsia" w:ascii="宋体" w:hAnsi="宋体" w:eastAsia="宋体" w:cs="宋体"/>
                <w:sz w:val="22"/>
                <w:szCs w:val="22"/>
              </w:rPr>
              <w:t>方案③售后服务标准及退换货措施④各环节相互协调和控制措施有力），方案包含以上全部内容得</w:t>
            </w:r>
            <w:r>
              <w:rPr>
                <w:rFonts w:hint="eastAsia" w:ascii="宋体" w:hAnsi="宋体" w:eastAsia="宋体" w:cs="宋体"/>
                <w:sz w:val="22"/>
                <w:szCs w:val="22"/>
                <w:lang w:val="en-US" w:eastAsia="zh-CN"/>
              </w:rPr>
              <w:t>20</w:t>
            </w:r>
            <w:r>
              <w:rPr>
                <w:rFonts w:hint="eastAsia" w:ascii="宋体" w:hAnsi="宋体" w:eastAsia="宋体" w:cs="宋体"/>
                <w:sz w:val="22"/>
                <w:szCs w:val="22"/>
              </w:rPr>
              <w:t>分，每有一项缺失扣</w:t>
            </w:r>
            <w:r>
              <w:rPr>
                <w:rFonts w:hint="eastAsia" w:ascii="宋体" w:hAnsi="宋体" w:eastAsia="宋体" w:cs="宋体"/>
                <w:sz w:val="22"/>
                <w:szCs w:val="22"/>
                <w:lang w:val="en-US" w:eastAsia="zh-CN"/>
              </w:rPr>
              <w:t>5</w:t>
            </w:r>
            <w:r>
              <w:rPr>
                <w:rFonts w:hint="eastAsia" w:ascii="宋体" w:hAnsi="宋体" w:eastAsia="宋体" w:cs="宋体"/>
                <w:sz w:val="22"/>
                <w:szCs w:val="22"/>
              </w:rPr>
              <w:t xml:space="preserve">分；方案包含以上全部内容的基础上，每一项内容全面合理、详细完善、可行性高、职责清晰、各类措施运用合理的加 </w:t>
            </w:r>
            <w:r>
              <w:rPr>
                <w:rFonts w:hint="eastAsia" w:ascii="宋体" w:hAnsi="宋体" w:eastAsia="宋体" w:cs="宋体"/>
                <w:sz w:val="22"/>
                <w:szCs w:val="22"/>
                <w:lang w:val="en-US" w:eastAsia="zh-CN"/>
              </w:rPr>
              <w:t>2</w:t>
            </w:r>
            <w:r>
              <w:rPr>
                <w:rFonts w:hint="eastAsia" w:ascii="宋体" w:hAnsi="宋体" w:eastAsia="宋体" w:cs="宋体"/>
                <w:sz w:val="22"/>
                <w:szCs w:val="22"/>
              </w:rPr>
              <w:t xml:space="preserve"> 分，最多加 </w:t>
            </w:r>
            <w:r>
              <w:rPr>
                <w:rFonts w:hint="eastAsia" w:ascii="宋体" w:hAnsi="宋体" w:eastAsia="宋体" w:cs="宋体"/>
                <w:sz w:val="22"/>
                <w:szCs w:val="22"/>
                <w:lang w:val="en-US" w:eastAsia="zh-CN"/>
              </w:rPr>
              <w:t>8</w:t>
            </w:r>
            <w:r>
              <w:rPr>
                <w:rFonts w:hint="eastAsia" w:ascii="宋体" w:hAnsi="宋体" w:eastAsia="宋体" w:cs="宋体"/>
                <w:sz w:val="22"/>
                <w:szCs w:val="22"/>
              </w:rPr>
              <w:t>分；本项最高得</w:t>
            </w:r>
            <w:r>
              <w:rPr>
                <w:rFonts w:hint="eastAsia" w:ascii="宋体" w:hAnsi="宋体" w:eastAsia="宋体" w:cs="宋体"/>
                <w:sz w:val="22"/>
                <w:szCs w:val="22"/>
                <w:lang w:val="en-US" w:eastAsia="zh-CN"/>
              </w:rPr>
              <w:t>28</w:t>
            </w:r>
            <w:r>
              <w:rPr>
                <w:rFonts w:hint="eastAsia" w:ascii="宋体" w:hAnsi="宋体" w:eastAsia="宋体" w:cs="宋体"/>
                <w:sz w:val="22"/>
                <w:szCs w:val="22"/>
              </w:rPr>
              <w:t xml:space="preserve"> 分。</w:t>
            </w:r>
          </w:p>
        </w:tc>
      </w:tr>
      <w:tr>
        <w:tblPrEx>
          <w:tblCellMar>
            <w:top w:w="0" w:type="dxa"/>
            <w:left w:w="108" w:type="dxa"/>
            <w:bottom w:w="0" w:type="dxa"/>
            <w:right w:w="108" w:type="dxa"/>
          </w:tblCellMar>
        </w:tblPrEx>
        <w:trPr>
          <w:trHeight w:val="10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sz w:val="22"/>
                <w:szCs w:val="22"/>
              </w:rPr>
              <w:t>参选文件的规范性</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3</w:t>
            </w:r>
            <w:r>
              <w:rPr>
                <w:rFonts w:hint="eastAsia" w:ascii="宋体" w:hAnsi="宋体" w:eastAsia="宋体" w:cs="宋体"/>
                <w:color w:val="000000"/>
                <w:kern w:val="0"/>
                <w:sz w:val="22"/>
                <w:szCs w:val="22"/>
              </w:rPr>
              <w:t>分</w:t>
            </w:r>
          </w:p>
        </w:tc>
        <w:tc>
          <w:tcPr>
            <w:tcW w:w="1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sz w:val="22"/>
                <w:szCs w:val="22"/>
              </w:rPr>
              <w:t>参选文件制作规范，没有细微偏差情形的得</w:t>
            </w:r>
            <w:r>
              <w:rPr>
                <w:rFonts w:hint="eastAsia" w:ascii="宋体" w:hAnsi="宋体" w:eastAsia="宋体" w:cs="宋体"/>
                <w:sz w:val="22"/>
                <w:szCs w:val="22"/>
                <w:lang w:val="en-US" w:eastAsia="zh-CN"/>
              </w:rPr>
              <w:t>3</w:t>
            </w:r>
            <w:r>
              <w:rPr>
                <w:rFonts w:hint="eastAsia" w:ascii="宋体" w:hAnsi="宋体" w:eastAsia="宋体" w:cs="宋体"/>
                <w:sz w:val="22"/>
                <w:szCs w:val="22"/>
              </w:rPr>
              <w:t>分；有一项细微偏差扣</w:t>
            </w:r>
            <w:r>
              <w:rPr>
                <w:rFonts w:hint="eastAsia" w:ascii="宋体" w:hAnsi="宋体" w:eastAsia="宋体" w:cs="宋体"/>
                <w:sz w:val="22"/>
                <w:szCs w:val="22"/>
                <w:lang w:val="en-US" w:eastAsia="zh-CN"/>
              </w:rPr>
              <w:t>1</w:t>
            </w:r>
            <w:r>
              <w:rPr>
                <w:rFonts w:hint="eastAsia" w:ascii="宋体" w:hAnsi="宋体" w:eastAsia="宋体" w:cs="宋体"/>
                <w:sz w:val="22"/>
                <w:szCs w:val="22"/>
              </w:rPr>
              <w:t xml:space="preserve"> 分，直至该项分值扣完为止。</w:t>
            </w:r>
          </w:p>
        </w:tc>
      </w:tr>
      <w:tr>
        <w:tblPrEx>
          <w:tblCellMar>
            <w:top w:w="0" w:type="dxa"/>
            <w:left w:w="108" w:type="dxa"/>
            <w:bottom w:w="0" w:type="dxa"/>
            <w:right w:w="108" w:type="dxa"/>
          </w:tblCellMar>
        </w:tblPrEx>
        <w:trPr>
          <w:trHeight w:val="1000" w:hRule="atLeast"/>
        </w:trPr>
        <w:tc>
          <w:tcPr>
            <w:tcW w:w="14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评审的资料都应当清晰可辨，对于模糊或分辨不明的资料，评审专家可以不予认可。</w:t>
            </w:r>
          </w:p>
        </w:tc>
      </w:tr>
    </w:tbl>
    <w:p>
      <w:pPr>
        <w:pStyle w:val="12"/>
        <w:ind w:left="0" w:leftChars="0" w:firstLine="0" w:firstLineChars="0"/>
        <w:rPr>
          <w:sz w:val="22"/>
          <w:szCs w:val="22"/>
        </w:rPr>
      </w:pPr>
    </w:p>
    <w:p>
      <w:pPr>
        <w:pStyle w:val="12"/>
        <w:ind w:left="0" w:leftChars="0" w:firstLine="0" w:firstLineChars="0"/>
        <w:rPr>
          <w:sz w:val="22"/>
          <w:szCs w:val="22"/>
        </w:rPr>
      </w:pPr>
      <w:r>
        <w:drawing>
          <wp:anchor distT="0" distB="0" distL="114300" distR="114300" simplePos="0" relativeHeight="251659264" behindDoc="0" locked="0" layoutInCell="1" allowOverlap="1">
            <wp:simplePos x="0" y="0"/>
            <wp:positionH relativeFrom="column">
              <wp:posOffset>1397635</wp:posOffset>
            </wp:positionH>
            <wp:positionV relativeFrom="paragraph">
              <wp:posOffset>-1396365</wp:posOffset>
            </wp:positionV>
            <wp:extent cx="6226810" cy="9081770"/>
            <wp:effectExtent l="0" t="0" r="508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6226810" cy="9081770"/>
                    </a:xfrm>
                    <a:prstGeom prst="rect">
                      <a:avLst/>
                    </a:prstGeom>
                  </pic:spPr>
                </pic:pic>
              </a:graphicData>
            </a:graphic>
          </wp:anchor>
        </w:drawing>
      </w:r>
    </w:p>
    <w:sectPr>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39BBE"/>
    <w:multiLevelType w:val="singleLevel"/>
    <w:tmpl w:val="19739BBE"/>
    <w:lvl w:ilvl="0" w:tentative="0">
      <w:start w:val="1"/>
      <w:numFmt w:val="chineseCounting"/>
      <w:suff w:val="space"/>
      <w:lvlText w:val="%1、"/>
      <w:lvlJc w:val="left"/>
      <w:rPr>
        <w:rFonts w:hint="eastAsia"/>
      </w:rPr>
    </w:lvl>
  </w:abstractNum>
  <w:abstractNum w:abstractNumId="1">
    <w:nsid w:val="1E37D5F4"/>
    <w:multiLevelType w:val="singleLevel"/>
    <w:tmpl w:val="1E37D5F4"/>
    <w:lvl w:ilvl="0" w:tentative="0">
      <w:start w:val="1"/>
      <w:numFmt w:val="decimal"/>
      <w:lvlText w:val="%1."/>
      <w:lvlJc w:val="left"/>
      <w:pPr>
        <w:tabs>
          <w:tab w:val="left" w:pos="312"/>
        </w:tabs>
      </w:pPr>
    </w:lvl>
  </w:abstractNum>
  <w:abstractNum w:abstractNumId="2">
    <w:nsid w:val="2122E75E"/>
    <w:multiLevelType w:val="singleLevel"/>
    <w:tmpl w:val="2122E75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kZmIzZTdmODc0YWM0Yjg1Y2U5Y2UwMGFkZmMzODQifQ=="/>
  </w:docVars>
  <w:rsids>
    <w:rsidRoot w:val="00C613D4"/>
    <w:rsid w:val="00122C36"/>
    <w:rsid w:val="002971DE"/>
    <w:rsid w:val="00432374"/>
    <w:rsid w:val="00624F2B"/>
    <w:rsid w:val="006B01E9"/>
    <w:rsid w:val="006C5D80"/>
    <w:rsid w:val="00864CB2"/>
    <w:rsid w:val="0093481A"/>
    <w:rsid w:val="00B340EF"/>
    <w:rsid w:val="00BA7B7A"/>
    <w:rsid w:val="00C613D4"/>
    <w:rsid w:val="00E54787"/>
    <w:rsid w:val="00F37A94"/>
    <w:rsid w:val="00F71997"/>
    <w:rsid w:val="00FE1FF7"/>
    <w:rsid w:val="01AE15BA"/>
    <w:rsid w:val="03001F4F"/>
    <w:rsid w:val="04735D8F"/>
    <w:rsid w:val="04E531C1"/>
    <w:rsid w:val="05563AA4"/>
    <w:rsid w:val="095F67F0"/>
    <w:rsid w:val="0A316165"/>
    <w:rsid w:val="0B594A4F"/>
    <w:rsid w:val="0EEF6D6E"/>
    <w:rsid w:val="102D5E28"/>
    <w:rsid w:val="11755C50"/>
    <w:rsid w:val="11ED02AE"/>
    <w:rsid w:val="123C24BE"/>
    <w:rsid w:val="124243E3"/>
    <w:rsid w:val="159D39C7"/>
    <w:rsid w:val="16636121"/>
    <w:rsid w:val="1EB65EE0"/>
    <w:rsid w:val="1FFC0D0E"/>
    <w:rsid w:val="213B42F4"/>
    <w:rsid w:val="21C62123"/>
    <w:rsid w:val="22BA4B4F"/>
    <w:rsid w:val="267A208B"/>
    <w:rsid w:val="27363334"/>
    <w:rsid w:val="284312FA"/>
    <w:rsid w:val="29671ECA"/>
    <w:rsid w:val="2B2F4C6A"/>
    <w:rsid w:val="2BBD499D"/>
    <w:rsid w:val="2C091017"/>
    <w:rsid w:val="2DF95C4E"/>
    <w:rsid w:val="324466D3"/>
    <w:rsid w:val="364E656A"/>
    <w:rsid w:val="37FD7CA0"/>
    <w:rsid w:val="381C10C6"/>
    <w:rsid w:val="38743CBC"/>
    <w:rsid w:val="38885084"/>
    <w:rsid w:val="38E65BD9"/>
    <w:rsid w:val="3A157EA8"/>
    <w:rsid w:val="3A3D1896"/>
    <w:rsid w:val="3A9E7CE0"/>
    <w:rsid w:val="3BB16FD5"/>
    <w:rsid w:val="40251ED0"/>
    <w:rsid w:val="403B1563"/>
    <w:rsid w:val="403C5A07"/>
    <w:rsid w:val="40EB595C"/>
    <w:rsid w:val="411C3369"/>
    <w:rsid w:val="431B7685"/>
    <w:rsid w:val="444C3722"/>
    <w:rsid w:val="446C43E1"/>
    <w:rsid w:val="47240519"/>
    <w:rsid w:val="4A6711E9"/>
    <w:rsid w:val="4C474BF5"/>
    <w:rsid w:val="4FF21C3E"/>
    <w:rsid w:val="5100482F"/>
    <w:rsid w:val="53F65E0F"/>
    <w:rsid w:val="547A3754"/>
    <w:rsid w:val="55B26875"/>
    <w:rsid w:val="57916848"/>
    <w:rsid w:val="58F5279F"/>
    <w:rsid w:val="59BC76E7"/>
    <w:rsid w:val="5A625342"/>
    <w:rsid w:val="5B934C9A"/>
    <w:rsid w:val="5DF254FF"/>
    <w:rsid w:val="5E14191A"/>
    <w:rsid w:val="5F4A1DC7"/>
    <w:rsid w:val="5FD0689F"/>
    <w:rsid w:val="61E52B68"/>
    <w:rsid w:val="64BB76D0"/>
    <w:rsid w:val="653A2BC1"/>
    <w:rsid w:val="6A022D0D"/>
    <w:rsid w:val="6A097E59"/>
    <w:rsid w:val="6B653589"/>
    <w:rsid w:val="6EF52A47"/>
    <w:rsid w:val="6F8D72D6"/>
    <w:rsid w:val="725E211F"/>
    <w:rsid w:val="733E2214"/>
    <w:rsid w:val="758F0BB3"/>
    <w:rsid w:val="790F4D60"/>
    <w:rsid w:val="7B1311E3"/>
    <w:rsid w:val="7BF81ADB"/>
    <w:rsid w:val="7E1C7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Normal Indent"/>
    <w:basedOn w:val="1"/>
    <w:autoRedefine/>
    <w:qFormat/>
    <w:uiPriority w:val="0"/>
    <w:pPr>
      <w:ind w:firstLine="420" w:firstLineChars="200"/>
    </w:pPr>
  </w:style>
  <w:style w:type="paragraph" w:styleId="6">
    <w:name w:val="Body Text Indent"/>
    <w:basedOn w:val="1"/>
    <w:next w:val="7"/>
    <w:autoRedefine/>
    <w:qFormat/>
    <w:uiPriority w:val="0"/>
    <w:pPr>
      <w:ind w:firstLine="630"/>
    </w:pPr>
    <w:rPr>
      <w:sz w:val="32"/>
      <w:szCs w:val="20"/>
    </w:rPr>
  </w:style>
  <w:style w:type="paragraph" w:styleId="7">
    <w:name w:val="envelope return"/>
    <w:basedOn w:val="1"/>
    <w:autoRedefine/>
    <w:qFormat/>
    <w:uiPriority w:val="0"/>
    <w:pPr>
      <w:snapToGrid w:val="0"/>
      <w:ind w:firstLine="480"/>
    </w:pPr>
    <w:rPr>
      <w:rFonts w:ascii="Arial" w:hAnsi="Arial"/>
      <w:spacing w:val="-10"/>
      <w:lang w:val="zh-CN"/>
    </w:rPr>
  </w:style>
  <w:style w:type="paragraph" w:styleId="8">
    <w:name w:val="footer"/>
    <w:basedOn w:val="1"/>
    <w:autoRedefine/>
    <w:semiHidden/>
    <w:unhideWhenUsed/>
    <w:qFormat/>
    <w:uiPriority w:val="99"/>
    <w:pPr>
      <w:tabs>
        <w:tab w:val="center" w:pos="4153"/>
        <w:tab w:val="right" w:pos="8306"/>
      </w:tabs>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autoRedefine/>
    <w:semiHidden/>
    <w:unhideWhenUsed/>
    <w:qFormat/>
    <w:uiPriority w:val="99"/>
    <w:pPr>
      <w:spacing w:before="100" w:beforeAutospacing="1" w:after="100" w:afterAutospacing="1"/>
    </w:pPr>
    <w:rPr>
      <w:rFonts w:ascii="宋体" w:hAnsi="宋体" w:eastAsia="宋体" w:cs="宋体"/>
      <w:sz w:val="24"/>
    </w:rPr>
  </w:style>
  <w:style w:type="paragraph" w:styleId="11">
    <w:name w:val="Body Text First Indent"/>
    <w:basedOn w:val="2"/>
    <w:autoRedefine/>
    <w:unhideWhenUsed/>
    <w:qFormat/>
    <w:uiPriority w:val="99"/>
    <w:pPr>
      <w:ind w:firstLine="420" w:firstLineChars="100"/>
    </w:pPr>
  </w:style>
  <w:style w:type="paragraph" w:styleId="12">
    <w:name w:val="Body Text First Indent 2"/>
    <w:basedOn w:val="6"/>
    <w:autoRedefine/>
    <w:qFormat/>
    <w:uiPriority w:val="0"/>
    <w:pPr>
      <w:spacing w:after="120"/>
      <w:ind w:left="420" w:leftChars="200" w:firstLine="420" w:firstLineChars="200"/>
    </w:pPr>
    <w:rPr>
      <w:rFonts w:ascii="Times New Roman" w:hAnsi="Times New Roman" w:eastAsia="宋体" w:cs="Times New Roman"/>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Char1"/>
    <w:basedOn w:val="1"/>
    <w:autoRedefine/>
    <w:qFormat/>
    <w:uiPriority w:val="0"/>
    <w:rPr>
      <w:szCs w:val="21"/>
    </w:rPr>
  </w:style>
  <w:style w:type="character" w:customStyle="1" w:styleId="17">
    <w:name w:val="font21"/>
    <w:basedOn w:val="15"/>
    <w:autoRedefine/>
    <w:qFormat/>
    <w:uiPriority w:val="0"/>
    <w:rPr>
      <w:rFonts w:hint="eastAsia" w:ascii="宋体" w:hAnsi="宋体" w:eastAsia="宋体" w:cs="宋体"/>
      <w:b/>
      <w:bCs/>
      <w:color w:val="000000"/>
      <w:sz w:val="22"/>
      <w:szCs w:val="22"/>
      <w:u w:val="none"/>
    </w:rPr>
  </w:style>
  <w:style w:type="character" w:customStyle="1" w:styleId="18">
    <w:name w:val="font01"/>
    <w:basedOn w:val="15"/>
    <w:autoRedefine/>
    <w:qFormat/>
    <w:uiPriority w:val="0"/>
    <w:rPr>
      <w:rFonts w:hint="eastAsia" w:ascii="宋体" w:hAnsi="宋体" w:eastAsia="宋体" w:cs="宋体"/>
      <w:color w:val="000000"/>
      <w:sz w:val="22"/>
      <w:szCs w:val="22"/>
      <w:u w:val="none"/>
    </w:rPr>
  </w:style>
  <w:style w:type="character" w:customStyle="1" w:styleId="19">
    <w:name w:val="apple-converted-space"/>
    <w:basedOn w:val="15"/>
    <w:autoRedefine/>
    <w:qFormat/>
    <w:uiPriority w:val="0"/>
  </w:style>
  <w:style w:type="paragraph" w:customStyle="1" w:styleId="20">
    <w:name w:val="null3"/>
    <w:autoRedefine/>
    <w:hidden/>
    <w:qFormat/>
    <w:uiPriority w:val="0"/>
    <w:rPr>
      <w:rFonts w:hint="eastAsia" w:asciiTheme="minorHAnsi" w:hAnsiTheme="minorHAnsi" w:eastAsiaTheme="minorEastAsia" w:cstheme="minorBidi"/>
      <w:lang w:val="en-US" w:eastAsia="zh-CN" w:bidi="ar-SA"/>
    </w:rPr>
  </w:style>
  <w:style w:type="paragraph" w:customStyle="1" w:styleId="21">
    <w:name w:val="Table Text"/>
    <w:basedOn w:val="1"/>
    <w:autoRedefine/>
    <w:semiHidden/>
    <w:qFormat/>
    <w:uiPriority w:val="0"/>
    <w:rPr>
      <w:rFonts w:ascii="宋体" w:hAnsi="宋体" w:eastAsia="宋体" w:cs="宋体"/>
      <w:sz w:val="19"/>
      <w:szCs w:val="19"/>
      <w:lang w:eastAsia="en-US"/>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TJ</Company>
  <Pages>8</Pages>
  <Words>812</Words>
  <Characters>4635</Characters>
  <Lines>38</Lines>
  <Paragraphs>10</Paragraphs>
  <TotalTime>1</TotalTime>
  <ScaleCrop>false</ScaleCrop>
  <LinksUpToDate>false</LinksUpToDate>
  <CharactersWithSpaces>5437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2021-05-18T02:52:00Z</dcterms:created>
  <dc:creator>Dell</dc:creator>
  <cp:lastModifiedBy>宋思宇</cp:lastModifiedBy>
  <cp:lastPrinted>2023-10-24T03:01:00Z</cp:lastPrinted>
  <dcterms:modified xsi:type="dcterms:W3CDTF">2024-05-08T09:13:53Z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9DB4D338DBA44ECA966C3A346B943475_13</vt:lpwstr>
  </property>
</Properties>
</file>