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ind w:firstLine="643" w:firstLineChars="200"/>
        <w:jc w:val="center"/>
        <w:rPr>
          <w:rFonts w:ascii="宋体" w:hAnsi="宋体"/>
          <w:sz w:val="28"/>
          <w:szCs w:val="28"/>
        </w:rPr>
      </w:pPr>
      <w:r>
        <w:rPr>
          <w:rFonts w:hint="eastAsia" w:ascii="宋体" w:hAnsi="宋体"/>
          <w:sz w:val="32"/>
          <w:szCs w:val="32"/>
        </w:rPr>
        <w:t>采购项目技术、服务、商务及其他要求</w:t>
      </w:r>
    </w:p>
    <w:p>
      <w:pPr>
        <w:spacing w:before="156" w:beforeLines="50" w:after="156" w:afterLines="50"/>
        <w:ind w:firstLine="420" w:firstLineChars="200"/>
      </w:pPr>
    </w:p>
    <w:p>
      <w:pPr>
        <w:widowControl/>
        <w:spacing w:before="156" w:beforeLines="50" w:after="156" w:afterLines="50"/>
        <w:ind w:firstLine="606" w:firstLineChars="200"/>
        <w:jc w:val="left"/>
        <w:rPr>
          <w:rFonts w:ascii="宋体" w:cs="宋体"/>
          <w:b/>
          <w:bCs/>
          <w:snapToGrid w:val="0"/>
          <w:spacing w:val="11"/>
          <w:kern w:val="0"/>
          <w:sz w:val="28"/>
          <w:szCs w:val="28"/>
          <w:lang w:val="zh-TW"/>
        </w:rPr>
      </w:pPr>
      <w:bookmarkStart w:id="0" w:name="_Toc217446094"/>
      <w:r>
        <w:rPr>
          <w:rFonts w:hint="eastAsia" w:ascii="宋体" w:cs="宋体"/>
          <w:b/>
          <w:bCs/>
          <w:snapToGrid w:val="0"/>
          <w:spacing w:val="11"/>
          <w:kern w:val="0"/>
          <w:sz w:val="28"/>
          <w:szCs w:val="28"/>
          <w:lang w:val="zh-TW"/>
        </w:rPr>
        <w:t xml:space="preserve">一、 </w:t>
      </w:r>
      <w:bookmarkEnd w:id="0"/>
      <w:r>
        <w:rPr>
          <w:rFonts w:hint="eastAsia" w:ascii="宋体" w:cs="宋体"/>
          <w:b/>
          <w:bCs/>
          <w:snapToGrid w:val="0"/>
          <w:spacing w:val="11"/>
          <w:kern w:val="0"/>
          <w:sz w:val="28"/>
          <w:szCs w:val="28"/>
        </w:rPr>
        <w:t>采购清单及项目概况</w:t>
      </w:r>
    </w:p>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1.采购清单</w:t>
      </w:r>
    </w:p>
    <w:tbl>
      <w:tblPr>
        <w:tblStyle w:val="14"/>
        <w:tblW w:w="99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90"/>
        <w:gridCol w:w="1320"/>
        <w:gridCol w:w="103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序号</w:t>
            </w:r>
          </w:p>
        </w:tc>
        <w:tc>
          <w:tcPr>
            <w:tcW w:w="3390"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项目名称</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ascii="宋体" w:cs="宋体"/>
                <w:snapToGrid w:val="0"/>
                <w:spacing w:val="11"/>
                <w:kern w:val="0"/>
                <w:sz w:val="24"/>
              </w:rPr>
              <w:t>计量单位</w:t>
            </w:r>
          </w:p>
        </w:tc>
        <w:tc>
          <w:tcPr>
            <w:tcW w:w="103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rPr>
              <w:t>数量</w:t>
            </w:r>
          </w:p>
        </w:tc>
        <w:tc>
          <w:tcPr>
            <w:tcW w:w="3165"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1</w:t>
            </w:r>
          </w:p>
        </w:tc>
        <w:tc>
          <w:tcPr>
            <w:tcW w:w="3390"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工程设计服务项目</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批</w:t>
            </w:r>
          </w:p>
        </w:tc>
        <w:tc>
          <w:tcPr>
            <w:tcW w:w="1035"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1</w:t>
            </w:r>
          </w:p>
        </w:tc>
        <w:tc>
          <w:tcPr>
            <w:tcW w:w="3165" w:type="dxa"/>
            <w:vAlign w:val="center"/>
          </w:tcPr>
          <w:p>
            <w:pPr>
              <w:widowControl/>
              <w:spacing w:before="156" w:beforeLines="50" w:after="156" w:afterLines="50"/>
              <w:rPr>
                <w:rFonts w:ascii="宋体" w:cs="宋体"/>
                <w:snapToGrid w:val="0"/>
                <w:spacing w:val="11"/>
                <w:kern w:val="0"/>
                <w:sz w:val="24"/>
                <w:lang w:val="zh-TW"/>
              </w:rPr>
            </w:pPr>
            <w:r>
              <w:rPr>
                <w:rFonts w:hint="eastAsia" w:ascii="宋体" w:cs="宋体"/>
                <w:snapToGrid w:val="0"/>
                <w:spacing w:val="11"/>
                <w:kern w:val="0"/>
                <w:sz w:val="24"/>
                <w:lang w:val="zh-TW"/>
              </w:rPr>
              <w:t>服务费用按每个设计工程项目</w:t>
            </w:r>
            <w:r>
              <w:rPr>
                <w:rFonts w:hint="eastAsia" w:ascii="宋体" w:cs="宋体"/>
                <w:snapToGrid w:val="0"/>
                <w:spacing w:val="11"/>
                <w:kern w:val="0"/>
                <w:sz w:val="24"/>
                <w:lang w:val="zh-TW" w:eastAsia="zh-CN"/>
              </w:rPr>
              <w:t>竣工</w:t>
            </w:r>
            <w:r>
              <w:rPr>
                <w:rFonts w:hint="eastAsia" w:ascii="宋体" w:cs="宋体"/>
                <w:snapToGrid w:val="0"/>
                <w:spacing w:val="11"/>
                <w:kern w:val="0"/>
                <w:sz w:val="24"/>
                <w:lang w:val="en-US" w:eastAsia="zh-CN"/>
              </w:rPr>
              <w:t>(</w:t>
            </w:r>
            <w:r>
              <w:rPr>
                <w:rFonts w:hint="eastAsia" w:ascii="宋体" w:cs="宋体"/>
                <w:snapToGrid w:val="0"/>
                <w:spacing w:val="11"/>
                <w:kern w:val="0"/>
                <w:sz w:val="24"/>
                <w:lang w:val="zh-TW"/>
              </w:rPr>
              <w:t>审计</w:t>
            </w:r>
            <w:r>
              <w:rPr>
                <w:rFonts w:hint="eastAsia" w:ascii="宋体" w:cs="宋体"/>
                <w:snapToGrid w:val="0"/>
                <w:spacing w:val="11"/>
                <w:kern w:val="0"/>
                <w:sz w:val="24"/>
                <w:lang w:val="en-US" w:eastAsia="zh-CN"/>
              </w:rPr>
              <w:t>)</w:t>
            </w:r>
            <w:r>
              <w:rPr>
                <w:rFonts w:hint="eastAsia" w:ascii="宋体" w:cs="宋体"/>
                <w:snapToGrid w:val="0"/>
                <w:spacing w:val="11"/>
                <w:kern w:val="0"/>
                <w:sz w:val="24"/>
                <w:lang w:val="zh-TW"/>
              </w:rPr>
              <w:t>结算金额的固定取费率计取，据实结算</w:t>
            </w:r>
          </w:p>
        </w:tc>
      </w:tr>
    </w:tbl>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2.项目概况</w:t>
      </w:r>
      <w:bookmarkStart w:id="1" w:name="_GoBack"/>
      <w:bookmarkEnd w:id="1"/>
    </w:p>
    <w:p>
      <w:pPr>
        <w:pStyle w:val="11"/>
        <w:widowControl/>
        <w:spacing w:after="0" w:line="360" w:lineRule="auto"/>
        <w:ind w:firstLine="524" w:firstLineChars="200"/>
        <w:rPr>
          <w:sz w:val="24"/>
          <w:lang w:val="zh-TW"/>
        </w:rPr>
      </w:pPr>
      <w:r>
        <w:rPr>
          <w:rFonts w:hint="eastAsia" w:ascii="宋体" w:cs="宋体"/>
          <w:snapToGrid w:val="0"/>
          <w:spacing w:val="11"/>
          <w:kern w:val="0"/>
          <w:sz w:val="24"/>
          <w:lang w:val="zh-TW"/>
        </w:rPr>
        <w:t>按采购人要求出具工程内容相关的建筑施工图、结构施工图、装修装饰图纸、电气图纸、给排水图纸、暖通图纸、弱电图纸、消防图纸、路面（地面）图纸、广告（字体）设计图纸、室内外灯光（照明及效果）图纸、室内外绿化景观设计图纸、局部效果图、全景效果图、精装设计图以及各类图纸相关的设计说明、系统图、门窗表、布置图、大样图和节点图。图纸说明须注明材料材质、规格、型号、国家执行标准、环保标准、防火等级等内容。</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lang w:val="zh-TW"/>
        </w:rPr>
        <w:t>二、技术参数与性能指标</w:t>
      </w:r>
    </w:p>
    <w:p>
      <w:pPr>
        <w:spacing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1.技术要求（实质性要求）</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1.1合同期限内，中选人须定专人与医院进行工作联系，如需更换联系人员必须至少提前2个工作日以书面的形式报采购人备案，涉及的设计工作由中选人内部自行完成交接，不得影响采购人的项目进度。合同期间内，每一次设计任务要进行现场踏勘，中选人须派专人现场测绘，充分了解采购人的设计需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部分项目按采购人要求派专人对施工现场进行技术交底，指导施工方按设计施工图进行作业；中选人设计的工程项目须要进行设计变更时，中选人按采购人要求在规定期限内完成设计变更并提交变更设计成果文件不另计费。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1.3 设计成果：出具贰套项目施工图纸，并加盖相应合格的资质印章（公司鲜章和相关设计人员印章）；壹套施工图电子文件；关键部位及区域的效果图壹套。</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1.4 工程项目设计图纸内容：</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 封面；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 图纸目录；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1.4.3 设计说明；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1.4.4 材料表（注明装修材料品名、规格、型号、材质、环保等级、防火等级、 适用国家标准、五金，标准件适用国家标准；提供现行市场3个以上优质品牌或厂家备选；提供符合医院使用的设备参数）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1.4.5 施工说明（文字介绍施工工艺（流程）、施工标准、养护周期、安装方法、成品保护等）。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1.4.6 建筑施工图（其中还包含建筑外立面设计、保温层、面层、玻璃幕墙、窗、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灯光等）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（2）立面图；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3</w:t>
      </w:r>
      <w:r>
        <w:rPr>
          <w:rFonts w:hint="eastAsia" w:ascii="宋体" w:cs="宋体"/>
          <w:snapToGrid w:val="0"/>
          <w:spacing w:val="11"/>
          <w:kern w:val="0"/>
          <w:sz w:val="24"/>
        </w:rPr>
        <w:t xml:space="preserve">）大样图；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4</w:t>
      </w:r>
      <w:r>
        <w:rPr>
          <w:rFonts w:hint="eastAsia" w:ascii="宋体" w:cs="宋体"/>
          <w:snapToGrid w:val="0"/>
          <w:spacing w:val="11"/>
          <w:kern w:val="0"/>
          <w:sz w:val="24"/>
        </w:rPr>
        <w:t xml:space="preserve">）节点图；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5</w:t>
      </w:r>
      <w:r>
        <w:rPr>
          <w:rFonts w:hint="eastAsia" w:ascii="宋体" w:cs="宋体"/>
          <w:snapToGrid w:val="0"/>
          <w:spacing w:val="11"/>
          <w:kern w:val="0"/>
          <w:sz w:val="24"/>
        </w:rPr>
        <w:t xml:space="preserve">）外观效果图。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1.4.7 结构施工图：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（1）全套结构布置图（含结构加固）；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（2）全套构件样图；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1.4.8 装饰部份图纸: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（1）平面布置图（含平面图流程图设计及相应的深化设计）;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（2）天花布置图;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（3）地拼面布置图、墙拼面布置图;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（4）各方位细部节点图(包括各分区平面、各方位立面设计及材质图)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（6）节点图。</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（7）重点区域效果图（候诊大厅、护士站、病房、诊室、治疗室、手术室等）。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1.4.9 电气部分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（1）电气设计说明（文字说明）；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（2）照明系统图(还要包括应急照明、疏散照明系统图)；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（3）动力系统图；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（4）天花布置图（注明灯具布置、线路走向及灯具、回路配置、注明强弱电线路、桥架走向及线路型号）；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（5）插座、配电箱布置图；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（8）强电部分（照明、插座、空调配电、等电位、UPS等）、弱电部分（视频监控系统、电话系统、网络系统、门禁系统、呼叫系统等）、医用气体部分（设备带、气体管道、设备带电源、气体终端等）。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1.4.10 给排水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（1）设计说明（文字说明，图例等）；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（2）给排水系统图（防水施工示意图、排水系统图、给水系统图）；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1.4.11 暖通图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（1）暖通设备布置图；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（4）舒适性空调设计。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1.4.12 弱电部分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（1）弱电布置图；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1.4.19 设计方案应符合本次采购项目的整体工作需求；设计方案达到采购人要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求，通过采购人的审查；设计标准必须执行国家标准行业行规及地方相关政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策法规要求；装饰设计不能影响主体结构安全；若采购人房屋需要结构加固，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图纸和方案须通过具备相关资质的单位审查。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1.4.20 设计安全要求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（1）改造、装修等设计工作中，凡涉及建筑结构加固设计和消防设计以及其他国家规定审查的图纸均须通过图纸审查并出具图审报告。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（2）如因部分房屋年代久远，无相关文件资料和图文资料（无平面图、无设计图、无施工图以及无竣工图等），由参选人自行现场测绘。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（3）参选人要具备建筑装饰装修、建筑结构补强、结构加固和消防设计能力，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并能出具相关设计图纸加盖设计签章。</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rPr>
        <w:t xml:space="preserve">三、总体商务、服务要求及履约主要条款（实质性要求） </w:t>
      </w:r>
    </w:p>
    <w:p>
      <w:pPr>
        <w:pStyle w:val="11"/>
        <w:widowControl/>
        <w:spacing w:after="0" w:line="360" w:lineRule="auto"/>
        <w:ind w:firstLine="480" w:firstLineChars="200"/>
        <w:rPr>
          <w:rFonts w:ascii="宋体" w:cs="宋体"/>
          <w:snapToGrid w:val="0"/>
          <w:spacing w:val="11"/>
          <w:kern w:val="0"/>
          <w:sz w:val="24"/>
        </w:rPr>
      </w:pPr>
      <w:r>
        <w:rPr>
          <w:rFonts w:hint="eastAsia" w:ascii="宋体" w:hAnsi="宋体" w:eastAsia="宋体" w:cs="宋体"/>
          <w:color w:val="000000"/>
          <w:kern w:val="0"/>
          <w:sz w:val="24"/>
          <w:lang w:bidi="ar"/>
        </w:rPr>
        <w:t>1</w:t>
      </w:r>
      <w:r>
        <w:rPr>
          <w:rFonts w:hint="eastAsia" w:ascii="宋体" w:cs="宋体"/>
          <w:snapToGrid w:val="0"/>
          <w:spacing w:val="11"/>
          <w:kern w:val="0"/>
          <w:sz w:val="24"/>
        </w:rPr>
        <w:t xml:space="preserve">.服务地点：阿坝州林业中心医院。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2.服务期限：3 年，合同一年一签，考核合格后，续签下一年合同。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3.付款方法和条件：合同签订后，每年度所设计工程完成了竣工审计（出具审计报告）的项目，根据固定取费率计算应支付设计服务费。中选供应商接采购人通知提供了合法有效的发票之后，采购人在 30日内以转账方式支付本年度设计服务费。（实质性要求）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本项目设计费计取方式为：按每个设计工程项目审计结算金额的固定取费率计取，据实结算。（固定取费率：中选人所填报的设计工程项目审计结算金额的固定取费率百分比最高不超 4.2%）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4. 该项目设计服务费为完成对医院的改造、装修及修缮等工程的前期设计及全 过程技术指定服务工作内容的全部价格体现，包括但不限于：项目方案设计费、补充或修改设计费、全过程技术指导服务费、保险、税费、利润、风险等全部费用。</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5.对于工程项目中涉及的现场测绘、勘测等一切与设计工作相关的费用，由中选人自行承担。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6.相关项目在报审期间由中选人对接图审公司，配合完成全部设计图审工作。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7.在合同期间内，中选人应有驻现场项目经理，与采购人进行业务联系。服务期限内，如中选人需更换人员必须以书面的形式报采购人；按采购人要求工程总价50 万元以上的项目须派驻设计人员全程参与，配合施工方解决施工中出现的各种与设计相关的问题。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8.开工前负责向采购人及施工单位进行设计文件技术交底工作,设计代表在施工 过程中应及时处理好与设计有关的遗漏、差错和其他变更设计等问题。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9. 全程参与后期项目施工现场指导及竣工验收，提供技术支撑。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10.单个工程项目设计成果交付时间：接到出图通知后15个工作日内完成设计工作（出具施工图）。中选人设计的工程项目需要进行设计变更时，中选人必须在接到采购人设计变更需求通知起4个工作日内完成设计变更并提交变更设计成果文件。未按采购人要求在规定期限内完成设计任务（移交设计成果）的视为中选人违反履约协议，每延期一天扣罚人民币 500 元，采购人将以工作联系函的方式书面告知中选人单次扣罚金额及扣罚依据（原因），所有扣罚费用由参选人在签收联系函后 1 个工作日内自行到采购人财务部门缴纳处罚金并将缴款凭证报采购人工程管理部门存档。未对问题进行整改或中选人拒绝签收工作联系函的，采购人有权要求停工整改，造成的费用增加、工期延误等责任全部由设计中选人承担。因未履行以上要求造成的政府监管部门或采购人管理部门处罚、人员伤亡、财产损失的所有责任和罚金全部由设计中选人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对于工程项目中涉及的现场踏勘、调查等由中选人完成。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13.中选人应综合考虑医院特殊情况，项目实施中若因为采购人工作安排、非可控等原因临时停工而发生的相关费用，采购人不再另行支付该相关费用，设计期限可顺延。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14.应急服务要求：接到采购人通知在 2 小时内响应，3 小时抵达现场，8 小内 </w:t>
      </w:r>
    </w:p>
    <w:p>
      <w:pPr>
        <w:pStyle w:val="11"/>
        <w:widowControl/>
        <w:spacing w:after="0" w:line="360" w:lineRule="auto"/>
        <w:ind w:firstLine="0" w:firstLineChars="0"/>
        <w:rPr>
          <w:rFonts w:ascii="宋体" w:cs="宋体"/>
          <w:snapToGrid w:val="0"/>
          <w:spacing w:val="11"/>
          <w:kern w:val="0"/>
          <w:sz w:val="24"/>
        </w:rPr>
      </w:pPr>
      <w:r>
        <w:rPr>
          <w:rFonts w:hint="eastAsia" w:ascii="宋体" w:cs="宋体"/>
          <w:snapToGrid w:val="0"/>
          <w:spacing w:val="11"/>
          <w:kern w:val="0"/>
          <w:sz w:val="24"/>
        </w:rPr>
        <w:t xml:space="preserve">解决问题或出具处理办法在双方约定时间内完成采购方提出的服务要求；配合施 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15.根据本年度所设计的工程项目完成竣工结算审核后，服务满一年期的按合同 约定取费率计算并支付设计服务费。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16.如设计的项目不进行实施，该项目不支付设计费用。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17.设计变更的造价控制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若因设计变更引起工程投资超过约定的最高限价，采购人有权要求中选人进行施工图设计、施工组织方案的调整和优化，但这种调整和优化必须满足规范要求及工程建设标准等合同文件的要求，并能够保证工程质量和合同工期要求，相关一切责任均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18.成交方案的著作权、版权、专利权和使用权归采购人所有（署名权除外）；中选人保证响应文件及资料均未侵犯他人的知识产权，否则必须承担全部责任；中选人对采购人提供的所有资料进行保密，如有泄漏，由中选人承担所有后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19. 违约责任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（1）如乙方未履行设计的工作内容、设计责任或采购文件响应条款内容、因乙方原因造成设计工期延误、未按要求出具设计图纸的则视为乙方违约，每一项违约内容由乙方赔偿甲方 500 元（出图时间延误处罚按第三部分第 10 项条款要求累计）。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因设计工作造成工程项目存在设计漏项的（漏项金额超施工项目合同总金额3%的）、因设计缺陷导致设备设施（空调、管道、电器等）无法维修或更换的、现场施工内容无法按设计内容实施需要进行设计变更的、图审无法通过的均视为乙方违约，每一项违约内容由乙方赔偿甲方 2000 元。除应赔偿甲方直接损失外，另需赔偿甲方间接损失，包括但不限于鉴定费用、取证费用、律师费、诉讼费等相关费用损失。 </w:t>
      </w:r>
    </w:p>
    <w:p>
      <w:pPr>
        <w:pStyle w:val="11"/>
        <w:widowControl/>
        <w:spacing w:after="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注：本章均为实质性要求，不允许负偏离，否则作无效参选处理</w:t>
      </w:r>
    </w:p>
    <w:p>
      <w:pPr>
        <w:pStyle w:val="11"/>
        <w:widowControl/>
        <w:spacing w:before="156" w:beforeLines="50" w:after="156" w:afterLines="50" w:line="360" w:lineRule="auto"/>
        <w:ind w:firstLine="524" w:firstLineChars="200"/>
        <w:rPr>
          <w:rFonts w:ascii="宋体" w:cs="宋体"/>
          <w:snapToGrid w:val="0"/>
          <w:spacing w:val="11"/>
          <w:kern w:val="0"/>
          <w:sz w:val="24"/>
        </w:rPr>
      </w:pPr>
    </w:p>
    <w:p>
      <w:pPr>
        <w:pStyle w:val="11"/>
        <w:widowControl/>
        <w:spacing w:before="10" w:after="10" w:line="360" w:lineRule="auto"/>
        <w:ind w:firstLine="419" w:firstLineChars="160"/>
        <w:rPr>
          <w:rFonts w:ascii="宋体" w:cs="宋体"/>
          <w:snapToGrid w:val="0"/>
          <w:spacing w:val="11"/>
          <w:kern w:val="0"/>
          <w:sz w:val="24"/>
        </w:rPr>
      </w:pPr>
    </w:p>
    <w:p>
      <w:pPr>
        <w:pStyle w:val="11"/>
        <w:widowControl/>
        <w:spacing w:line="360" w:lineRule="auto"/>
        <w:ind w:firstLine="0" w:firstLineChars="0"/>
        <w:rPr>
          <w:rFonts w:ascii="宋体" w:cs="宋体"/>
          <w:snapToGrid w:val="0"/>
          <w:spacing w:val="11"/>
          <w:kern w:val="0"/>
          <w:sz w:val="24"/>
        </w:rPr>
        <w:sectPr>
          <w:pgSz w:w="11906" w:h="16838"/>
          <w:pgMar w:top="1134" w:right="1134" w:bottom="1134" w:left="1134" w:header="851" w:footer="992" w:gutter="0"/>
          <w:cols w:space="0" w:num="1"/>
          <w:docGrid w:type="lines" w:linePitch="312" w:charSpace="0"/>
        </w:sectPr>
      </w:pPr>
    </w:p>
    <w:p>
      <w:pPr>
        <w:pStyle w:val="11"/>
        <w:widowControl/>
        <w:spacing w:line="360" w:lineRule="auto"/>
        <w:ind w:firstLine="0" w:firstLineChars="0"/>
        <w:rPr>
          <w:rFonts w:ascii="宋体" w:cs="宋体"/>
          <w:snapToGrid w:val="0"/>
          <w:spacing w:val="11"/>
          <w:kern w:val="0"/>
          <w:sz w:val="24"/>
        </w:rPr>
      </w:pPr>
    </w:p>
    <w:p>
      <w:pPr>
        <w:pStyle w:val="2"/>
        <w:spacing w:before="0" w:after="0" w:line="120" w:lineRule="auto"/>
        <w:jc w:val="center"/>
        <w:rPr>
          <w:sz w:val="28"/>
          <w:szCs w:val="28"/>
        </w:rPr>
      </w:pPr>
      <w:r>
        <w:rPr>
          <w:rFonts w:hint="eastAsia"/>
          <w:sz w:val="28"/>
          <w:szCs w:val="28"/>
        </w:rPr>
        <w:t>评分方法</w:t>
      </w:r>
    </w:p>
    <w:p>
      <w:pPr>
        <w:pStyle w:val="2"/>
        <w:numPr>
          <w:ilvl w:val="0"/>
          <w:numId w:val="1"/>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tbl>
      <w:tblPr>
        <w:tblStyle w:val="13"/>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rPr>
              <w:t>工程设计服务项目比选评分因素</w:t>
            </w:r>
          </w:p>
        </w:tc>
      </w:tr>
      <w:tr>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招标文件要求且投标价格最低的投标报价为评标基准价，其价格分为满分。其他参选人的价格分统一按照下列公式计算：投标报价得分=(评标基准价／投标报价)×100×权重</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人 员 配 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numPr>
                <w:ilvl w:val="0"/>
                <w:numId w:val="2"/>
              </w:numPr>
              <w:rPr>
                <w:rFonts w:ascii="宋体" w:hAnsi="宋体" w:eastAsia="宋体" w:cs="宋体"/>
                <w:color w:val="000000"/>
                <w:sz w:val="22"/>
                <w:szCs w:val="22"/>
              </w:rPr>
            </w:pPr>
            <w:r>
              <w:rPr>
                <w:rFonts w:hint="eastAsia" w:ascii="宋体" w:hAnsi="宋体" w:eastAsia="宋体" w:cs="宋体"/>
                <w:color w:val="000000"/>
                <w:sz w:val="22"/>
                <w:szCs w:val="22"/>
              </w:rPr>
              <w:t>拟投入本项目的项目负责人（1 人）：具有一级注册建筑师资格的得3 分，同时具有建筑类专业中级及以上工程师职称的加 3 分，本项最多得6 分。 （2）拟投入本项目的结构专业负责人（1 人）：具备一级注册结构工程师资格证书得 3 分，同时具有建筑类专业中级及以上工程师职称加3 分，本项满分 6 分。 （3）拟投入本项目的暖通专业负责人（1 人）：具备注册公用设备工程师（暖通空调）资格证书得 6 分。本项满分 6 分。 （4）拟投入本项目的供配电专业（电气专业）负责人：供应商应为本项目配备供配电设计专业技术人员1 名，具有注册电气工程师（供配电）资格证书的得 6 分，本项最多得 6 分。（5）给排水负责人：供应商应为本项目配备给排水项目负责人 1 名，具有注册公用设备工程师（给水排水）资格的得 3 分，同时具有建筑类专业中级工程师职称及以上的加 3 分。本项满分 6 分。</w:t>
            </w:r>
          </w:p>
          <w:p>
            <w:pPr>
              <w:pStyle w:val="5"/>
              <w:rPr>
                <w:sz w:val="22"/>
                <w:szCs w:val="22"/>
              </w:rPr>
            </w:pPr>
            <w:r>
              <w:rPr>
                <w:rFonts w:hint="eastAsia" w:ascii="宋体" w:hAnsi="宋体" w:eastAsia="宋体" w:cs="宋体"/>
                <w:b/>
                <w:bCs/>
                <w:color w:val="000000"/>
                <w:kern w:val="0"/>
                <w:sz w:val="22"/>
                <w:szCs w:val="22"/>
              </w:rPr>
              <w:t>注：以上人员须提供本单位的在职证明材料；以上人员均需提供身份证、资格证书或职称证（或岗位证）复印件；以上人员不重复计分。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 xml:space="preserve">履 约 能 力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根据参选人提供的 20</w:t>
            </w:r>
            <w:r>
              <w:rPr>
                <w:rFonts w:hint="eastAsia" w:ascii="宋体" w:hAnsi="宋体" w:eastAsia="宋体" w:cs="宋体"/>
                <w:color w:val="000000"/>
                <w:sz w:val="22"/>
                <w:szCs w:val="22"/>
              </w:rPr>
              <w:t>20</w:t>
            </w:r>
            <w:r>
              <w:rPr>
                <w:rFonts w:ascii="宋体" w:hAnsi="宋体" w:eastAsia="宋体" w:cs="宋体"/>
                <w:color w:val="000000"/>
                <w:sz w:val="22"/>
                <w:szCs w:val="22"/>
              </w:rPr>
              <w:t xml:space="preserve"> 年 1 月1 日（含）至</w:t>
            </w:r>
            <w:r>
              <w:rPr>
                <w:rFonts w:hint="eastAsia" w:ascii="宋体" w:hAnsi="宋体" w:eastAsia="宋体" w:cs="宋体"/>
                <w:color w:val="000000"/>
                <w:sz w:val="22"/>
                <w:szCs w:val="22"/>
              </w:rPr>
              <w:t>参选</w:t>
            </w:r>
            <w:r>
              <w:rPr>
                <w:rFonts w:ascii="宋体" w:hAnsi="宋体" w:eastAsia="宋体" w:cs="宋体"/>
                <w:color w:val="000000"/>
                <w:sz w:val="22"/>
                <w:szCs w:val="22"/>
              </w:rPr>
              <w:t>文件递交截止日的类似业绩进行评审，每提供一个类似业绩的得 3 分（同一个项目业绩中包含多种（如建筑施工、结构施工、装饰部分、电气等）工程设计的，按一个业绩计算），最多得 12 分。</w:t>
            </w:r>
          </w:p>
          <w:p>
            <w:pPr>
              <w:widowControl/>
              <w:jc w:val="left"/>
              <w:textAlignment w:val="center"/>
              <w:rPr>
                <w:rFonts w:ascii="宋体" w:hAnsi="宋体" w:eastAsia="宋体" w:cs="宋体"/>
                <w:color w:val="000000"/>
                <w:sz w:val="22"/>
                <w:szCs w:val="22"/>
              </w:rPr>
            </w:pPr>
            <w:r>
              <w:rPr>
                <w:rFonts w:hint="eastAsia" w:ascii="宋体" w:hAnsi="宋体" w:eastAsia="宋体" w:cs="宋体"/>
                <w:b/>
                <w:bCs/>
                <w:color w:val="000000"/>
                <w:sz w:val="22"/>
                <w:szCs w:val="22"/>
              </w:rPr>
              <w:t>注：</w:t>
            </w:r>
            <w:r>
              <w:rPr>
                <w:rFonts w:ascii="宋体" w:hAnsi="宋体" w:eastAsia="宋体" w:cs="宋体"/>
                <w:b/>
                <w:bCs/>
                <w:sz w:val="22"/>
                <w:szCs w:val="22"/>
              </w:rPr>
              <w:t>提供合同复印件或中选（成交）通知书并加盖参选人公章。</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设计成果交 付时限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ascii="宋体" w:hAnsi="宋体" w:eastAsia="宋体" w:cs="宋体"/>
                <w:sz w:val="22"/>
                <w:szCs w:val="22"/>
              </w:rPr>
              <w:t>在满足本项目设计成果交付时限的前提下， 供应商承诺交付时限提前1 天交付设计成果得 1 分，本项满分10 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注：1、设计提前交付时限不包含设计变更内容。</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服 务 方 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 参选人提供对本项目的具体实施方案及质量保证方案，包括但不限于①设计质量保证措施：至少包含1）项目设计人力资源配置方案，2）设计全过程质量控制方案并有关键节点质量控制措施及设计成果文件校审流程方案。 ②设计进度计划及控制措施：1）项目设计总进度计划方案（含甘特图或进度表等）及各专业阶段性设计进度计划方案（含甘特图或进度表等），2）各专业设计配合保障方案。3）设计变更进度控制方案。 ③设计实施阶段重点管理：1）设计项目技术交底管理方案，2）项目设计变更管理方案。 ④明确的质量控制责任制：1）项目设计阶段项目负责人职责、工作内容及应急服务方案，2）项目设计阶段各专业设计人员职责、工作内容及应急服务方案，3）参选人针对项目设计、施工、验收三个阶段设计质量控制的落实方案。 以上方案内容齐全得 28 分，每有一项内容缺失扣 2.8 分，每有一项内容有缺陷的扣 1.5 分，直至本项分值扣完为止。（注：内容缺陷是指：项目内容描述错误、内容不完整或缺少关键节点、套用其他项目方案、内容前后矛盾、进度计划天数与响应承诺天数矛盾、涉及的规范及标准错误等任意一种情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2"/>
        <w:ind w:left="0" w:leftChars="0" w:firstLine="0" w:firstLineChars="0"/>
        <w:rPr>
          <w:sz w:val="22"/>
          <w:szCs w:val="2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7D5F4"/>
    <w:multiLevelType w:val="singleLevel"/>
    <w:tmpl w:val="1E37D5F4"/>
    <w:lvl w:ilvl="0" w:tentative="0">
      <w:start w:val="1"/>
      <w:numFmt w:val="decimal"/>
      <w:lvlText w:val="%1."/>
      <w:lvlJc w:val="left"/>
      <w:pPr>
        <w:tabs>
          <w:tab w:val="left" w:pos="312"/>
        </w:tabs>
      </w:pPr>
    </w:lvl>
  </w:abstractNum>
  <w:abstractNum w:abstractNumId="1">
    <w:nsid w:val="54DD1BFA"/>
    <w:multiLevelType w:val="singleLevel"/>
    <w:tmpl w:val="54DD1B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dkZmIzZTdmODc0YWM0Yjg1Y2U5Y2UwMGFkZmMzODQifQ=="/>
  </w:docVars>
  <w:rsids>
    <w:rsidRoot w:val="00C613D4"/>
    <w:rsid w:val="00122C36"/>
    <w:rsid w:val="002971DE"/>
    <w:rsid w:val="00432374"/>
    <w:rsid w:val="00624F2B"/>
    <w:rsid w:val="006B01E9"/>
    <w:rsid w:val="006C5D80"/>
    <w:rsid w:val="00864CB2"/>
    <w:rsid w:val="0093481A"/>
    <w:rsid w:val="00B340EF"/>
    <w:rsid w:val="00BA7B7A"/>
    <w:rsid w:val="00C613D4"/>
    <w:rsid w:val="00E54787"/>
    <w:rsid w:val="00F37A94"/>
    <w:rsid w:val="00F71997"/>
    <w:rsid w:val="00FE1FF7"/>
    <w:rsid w:val="01AE15BA"/>
    <w:rsid w:val="03001F4F"/>
    <w:rsid w:val="04735D8F"/>
    <w:rsid w:val="04E531C1"/>
    <w:rsid w:val="05563AA4"/>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99C7D9D"/>
    <w:rsid w:val="3A157EA8"/>
    <w:rsid w:val="3A3D1896"/>
    <w:rsid w:val="3A9E7CE0"/>
    <w:rsid w:val="3BB16FD5"/>
    <w:rsid w:val="40251ED0"/>
    <w:rsid w:val="403B1563"/>
    <w:rsid w:val="403C5A07"/>
    <w:rsid w:val="40EB595C"/>
    <w:rsid w:val="411C3369"/>
    <w:rsid w:val="431B7685"/>
    <w:rsid w:val="446C43E1"/>
    <w:rsid w:val="47240519"/>
    <w:rsid w:val="4A6711E9"/>
    <w:rsid w:val="4C474BF5"/>
    <w:rsid w:val="4FF21C3E"/>
    <w:rsid w:val="5100482F"/>
    <w:rsid w:val="53F65E0F"/>
    <w:rsid w:val="547A3754"/>
    <w:rsid w:val="55B26875"/>
    <w:rsid w:val="57916848"/>
    <w:rsid w:val="58F5279F"/>
    <w:rsid w:val="59BC76E7"/>
    <w:rsid w:val="5A625342"/>
    <w:rsid w:val="5B934C9A"/>
    <w:rsid w:val="5DF254FF"/>
    <w:rsid w:val="5E14191A"/>
    <w:rsid w:val="5FD0689F"/>
    <w:rsid w:val="61E52B68"/>
    <w:rsid w:val="64BB76D0"/>
    <w:rsid w:val="6A022D0D"/>
    <w:rsid w:val="6A097E59"/>
    <w:rsid w:val="6B653589"/>
    <w:rsid w:val="6EF52A47"/>
    <w:rsid w:val="6F8D72D6"/>
    <w:rsid w:val="725E211F"/>
    <w:rsid w:val="733E2214"/>
    <w:rsid w:val="758F0BB3"/>
    <w:rsid w:val="790F4D60"/>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ind w:firstLine="630"/>
    </w:pPr>
    <w:rPr>
      <w:sz w:val="32"/>
      <w:szCs w:val="20"/>
    </w:rPr>
  </w:style>
  <w:style w:type="paragraph" w:styleId="7">
    <w:name w:val="envelope return"/>
    <w:basedOn w:val="1"/>
    <w:autoRedefine/>
    <w:qFormat/>
    <w:uiPriority w:val="0"/>
    <w:pPr>
      <w:snapToGrid w:val="0"/>
      <w:ind w:firstLine="480"/>
    </w:pPr>
    <w:rPr>
      <w:rFonts w:ascii="Arial" w:hAnsi="Arial"/>
      <w:spacing w:val="-10"/>
      <w:lang w:val="zh-CN"/>
    </w:rPr>
  </w:style>
  <w:style w:type="paragraph" w:styleId="8">
    <w:name w:val="footer"/>
    <w:basedOn w:val="1"/>
    <w:autoRedefine/>
    <w:semiHidden/>
    <w:unhideWhenUsed/>
    <w:qFormat/>
    <w:uiPriority w:val="99"/>
    <w:pPr>
      <w:tabs>
        <w:tab w:val="center" w:pos="4153"/>
        <w:tab w:val="right" w:pos="8306"/>
      </w:tabs>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1">
    <w:name w:val="Body Text First Indent"/>
    <w:basedOn w:val="5"/>
    <w:autoRedefine/>
    <w:unhideWhenUsed/>
    <w:qFormat/>
    <w:uiPriority w:val="99"/>
    <w:pPr>
      <w:ind w:firstLine="420" w:firstLineChars="100"/>
    </w:pPr>
  </w:style>
  <w:style w:type="paragraph" w:styleId="12">
    <w:name w:val="Body Text First Indent 2"/>
    <w:basedOn w:val="6"/>
    <w:autoRedefine/>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1"/>
    <w:basedOn w:val="1"/>
    <w:autoRedefine/>
    <w:qFormat/>
    <w:uiPriority w:val="0"/>
    <w:rPr>
      <w:szCs w:val="21"/>
    </w:rPr>
  </w:style>
  <w:style w:type="character" w:customStyle="1" w:styleId="17">
    <w:name w:val="font21"/>
    <w:basedOn w:val="15"/>
    <w:autoRedefine/>
    <w:qFormat/>
    <w:uiPriority w:val="0"/>
    <w:rPr>
      <w:rFonts w:hint="eastAsia" w:ascii="宋体" w:hAnsi="宋体" w:eastAsia="宋体" w:cs="宋体"/>
      <w:b/>
      <w:bCs/>
      <w:color w:val="000000"/>
      <w:sz w:val="22"/>
      <w:szCs w:val="22"/>
      <w:u w:val="none"/>
    </w:rPr>
  </w:style>
  <w:style w:type="character" w:customStyle="1" w:styleId="18">
    <w:name w:val="font01"/>
    <w:basedOn w:val="15"/>
    <w:autoRedefine/>
    <w:qFormat/>
    <w:uiPriority w:val="0"/>
    <w:rPr>
      <w:rFonts w:hint="eastAsia" w:ascii="宋体" w:hAnsi="宋体" w:eastAsia="宋体" w:cs="宋体"/>
      <w:color w:val="000000"/>
      <w:sz w:val="22"/>
      <w:szCs w:val="22"/>
      <w:u w:val="none"/>
    </w:rPr>
  </w:style>
  <w:style w:type="character" w:customStyle="1" w:styleId="19">
    <w:name w:val="apple-converted-space"/>
    <w:basedOn w:val="15"/>
    <w:autoRedefine/>
    <w:qFormat/>
    <w:uiPriority w:val="0"/>
  </w:style>
  <w:style w:type="paragraph" w:customStyle="1" w:styleId="20">
    <w:name w:val="null3"/>
    <w:autoRedefine/>
    <w:hidden/>
    <w:qFormat/>
    <w:uiPriority w:val="0"/>
    <w:rPr>
      <w:rFonts w:hint="eastAsia" w:asciiTheme="minorHAnsi" w:hAnsiTheme="minorHAnsi" w:eastAsiaTheme="minorEastAsia" w:cstheme="minorBidi"/>
      <w:lang w:val="en-US" w:eastAsia="zh-CN" w:bidi="ar-SA"/>
    </w:rPr>
  </w:style>
  <w:style w:type="paragraph" w:customStyle="1" w:styleId="21">
    <w:name w:val="Table Text"/>
    <w:basedOn w:val="1"/>
    <w:autoRedefine/>
    <w:semiHidden/>
    <w:qFormat/>
    <w:uiPriority w:val="0"/>
    <w:rPr>
      <w:rFonts w:ascii="宋体" w:hAnsi="宋体" w:eastAsia="宋体" w:cs="宋体"/>
      <w:sz w:val="19"/>
      <w:szCs w:val="19"/>
      <w:lang w:eastAsia="en-US"/>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8</Pages>
  <Words>812</Words>
  <Characters>4635</Characters>
  <Lines>38</Lines>
  <Paragraphs>10</Paragraphs>
  <TotalTime>60</TotalTime>
  <ScaleCrop>false</ScaleCrop>
  <LinksUpToDate>false</LinksUpToDate>
  <CharactersWithSpaces>5437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Administrator</cp:lastModifiedBy>
  <cp:lastPrinted>2023-10-24T03:01:00Z</cp:lastPrinted>
  <dcterms:modified xsi:type="dcterms:W3CDTF">2024-03-20T08:22:16Z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98D621862EC34DE896191484F5B69C13_13</vt:lpwstr>
  </property>
</Properties>
</file>