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exact"/>
        <w:jc w:val="center"/>
        <w:rPr>
          <w:rFonts w:ascii="宋体" w:eastAsia="宋体"/>
          <w:bCs/>
          <w:sz w:val="36"/>
        </w:rPr>
      </w:pPr>
      <w:bookmarkStart w:id="2" w:name="_GoBack"/>
      <w:bookmarkEnd w:id="2"/>
      <w:r>
        <w:rPr>
          <w:rFonts w:hint="eastAsia" w:ascii="宋体" w:eastAsia="宋体"/>
          <w:bCs/>
          <w:sz w:val="36"/>
        </w:rPr>
        <w:t xml:space="preserve">院内公开竞价/比选 </w:t>
      </w:r>
      <w:r>
        <w:rPr>
          <w:rFonts w:hint="eastAsia" w:ascii="宋体" w:eastAsia="宋体"/>
          <w:bCs/>
          <w:sz w:val="36"/>
          <w:lang w:val="en-US" w:eastAsia="zh-CN"/>
        </w:rPr>
        <w:t xml:space="preserve">    </w:t>
      </w:r>
      <w:r>
        <w:rPr>
          <w:rFonts w:hint="eastAsia" w:ascii="宋体" w:eastAsia="宋体"/>
          <w:bCs/>
          <w:sz w:val="36"/>
          <w:lang w:eastAsia="zh-CN"/>
        </w:rPr>
        <w:t>比选</w:t>
      </w:r>
      <w:r>
        <w:rPr>
          <w:rFonts w:hint="eastAsia" w:ascii="宋体" w:eastAsia="宋体"/>
          <w:bCs/>
          <w:sz w:val="36"/>
        </w:rPr>
        <w:t>文件</w:t>
      </w:r>
    </w:p>
    <w:p>
      <w:pPr>
        <w:spacing w:line="400" w:lineRule="exact"/>
        <w:jc w:val="center"/>
      </w:pPr>
    </w:p>
    <w:p>
      <w:pPr>
        <w:pStyle w:val="13"/>
        <w:spacing w:line="360" w:lineRule="auto"/>
        <w:ind w:firstLine="482" w:firstLineChars="200"/>
        <w:rPr>
          <w:b/>
          <w:sz w:val="24"/>
          <w:szCs w:val="24"/>
        </w:rPr>
      </w:pPr>
      <w:r>
        <w:rPr>
          <w:rFonts w:hint="eastAsia"/>
          <w:b/>
          <w:sz w:val="24"/>
          <w:szCs w:val="24"/>
        </w:rPr>
        <w:t>比选人参加本次比选必须提供以下文件资料：</w:t>
      </w:r>
    </w:p>
    <w:p>
      <w:pPr>
        <w:spacing w:line="360" w:lineRule="auto"/>
        <w:ind w:firstLine="480" w:firstLineChars="200"/>
        <w:rPr>
          <w:sz w:val="24"/>
          <w:szCs w:val="24"/>
        </w:rPr>
      </w:pPr>
      <w:r>
        <w:rPr>
          <w:rFonts w:hint="eastAsia"/>
          <w:sz w:val="24"/>
          <w:szCs w:val="24"/>
        </w:rPr>
        <w:t>1、法定代表人授权书（原件）</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2、法定代表人参与比选活动的提供</w:t>
      </w:r>
      <w:r>
        <w:rPr>
          <w:rFonts w:hint="eastAsia"/>
          <w:sz w:val="24"/>
          <w:szCs w:val="24"/>
        </w:rPr>
        <w:t>法</w:t>
      </w:r>
      <w:r>
        <w:rPr>
          <w:rFonts w:hint="eastAsia" w:ascii="宋体"/>
          <w:sz w:val="24"/>
          <w:szCs w:val="24"/>
        </w:rPr>
        <w:t>定代表人的身份证</w:t>
      </w:r>
      <w:r>
        <w:rPr>
          <w:rFonts w:hint="eastAsia"/>
          <w:sz w:val="24"/>
          <w:szCs w:val="24"/>
        </w:rPr>
        <w:t>（复印件）</w:t>
      </w:r>
      <w:r>
        <w:rPr>
          <w:rFonts w:hint="eastAsia" w:ascii="宋体"/>
          <w:sz w:val="24"/>
          <w:szCs w:val="24"/>
        </w:rPr>
        <w:t>，复印双面；授权代表参与比选活动的提供</w:t>
      </w:r>
      <w:r>
        <w:rPr>
          <w:rFonts w:hint="eastAsia"/>
          <w:sz w:val="24"/>
          <w:szCs w:val="24"/>
        </w:rPr>
        <w:t>法</w:t>
      </w:r>
      <w:r>
        <w:rPr>
          <w:rFonts w:hint="eastAsia" w:ascii="宋体"/>
          <w:sz w:val="24"/>
          <w:szCs w:val="24"/>
        </w:rPr>
        <w:t>定代表人和授权代表的身份证</w:t>
      </w:r>
      <w:r>
        <w:rPr>
          <w:rFonts w:hint="eastAsia"/>
          <w:sz w:val="24"/>
          <w:szCs w:val="24"/>
        </w:rPr>
        <w:t>（复印件）</w:t>
      </w:r>
      <w:r>
        <w:rPr>
          <w:rFonts w:hint="eastAsia" w:ascii="宋体"/>
          <w:sz w:val="24"/>
          <w:szCs w:val="24"/>
        </w:rPr>
        <w:t>，复印双面；</w:t>
      </w:r>
    </w:p>
    <w:p>
      <w:pPr>
        <w:spacing w:line="360" w:lineRule="auto"/>
        <w:ind w:firstLine="480" w:firstLineChars="200"/>
        <w:rPr>
          <w:rFonts w:ascii="宋体" w:hAnsi="宋体"/>
          <w:sz w:val="24"/>
          <w:szCs w:val="24"/>
        </w:rPr>
      </w:pPr>
      <w:r>
        <w:rPr>
          <w:rFonts w:hint="eastAsia" w:ascii="宋体"/>
          <w:sz w:val="24"/>
          <w:szCs w:val="24"/>
        </w:rPr>
        <w:t>3、</w:t>
      </w:r>
      <w:r>
        <w:rPr>
          <w:rFonts w:hint="eastAsia" w:ascii="宋体" w:hAnsi="宋体"/>
          <w:sz w:val="24"/>
          <w:szCs w:val="24"/>
        </w:rPr>
        <w:t>比选人内部出具或第三方机构出具的财务状况报告（复印件）；也可提供截至响应文件递交截止日一年内银行出具的资信证明（复印件）；</w:t>
      </w:r>
    </w:p>
    <w:p>
      <w:pPr>
        <w:spacing w:line="360" w:lineRule="auto"/>
        <w:ind w:firstLine="480" w:firstLineChars="200"/>
        <w:rPr>
          <w:rFonts w:ascii="宋体" w:hAnsi="宋体"/>
          <w:sz w:val="24"/>
          <w:szCs w:val="24"/>
        </w:rPr>
      </w:pPr>
      <w:r>
        <w:rPr>
          <w:rFonts w:hint="eastAsia" w:ascii="宋体" w:hAnsi="宋体"/>
          <w:sz w:val="24"/>
          <w:szCs w:val="24"/>
        </w:rPr>
        <w:t>4、比选人前三年内，在经营活动中没有重大违法记录的书面声明原件；</w:t>
      </w:r>
    </w:p>
    <w:p>
      <w:pPr>
        <w:spacing w:line="360" w:lineRule="auto"/>
        <w:ind w:firstLine="480" w:firstLineChars="200"/>
        <w:rPr>
          <w:rFonts w:ascii="宋体"/>
          <w:sz w:val="24"/>
          <w:szCs w:val="24"/>
        </w:rPr>
      </w:pPr>
      <w:r>
        <w:rPr>
          <w:rFonts w:hint="eastAsia" w:ascii="宋体"/>
          <w:sz w:val="24"/>
          <w:szCs w:val="24"/>
        </w:rPr>
        <w:t>5、产品质量承诺书（原件）、售后服务承诺书（原件）；</w:t>
      </w:r>
    </w:p>
    <w:p>
      <w:pPr>
        <w:spacing w:line="360" w:lineRule="auto"/>
        <w:ind w:firstLine="480" w:firstLineChars="200"/>
        <w:rPr>
          <w:rFonts w:ascii="宋体"/>
          <w:sz w:val="24"/>
          <w:szCs w:val="24"/>
        </w:rPr>
      </w:pPr>
      <w:r>
        <w:rPr>
          <w:rFonts w:hint="eastAsia" w:ascii="宋体"/>
          <w:sz w:val="24"/>
          <w:szCs w:val="24"/>
        </w:rPr>
        <w:t>6、</w:t>
      </w:r>
      <w:r>
        <w:rPr>
          <w:rFonts w:ascii="宋体"/>
          <w:sz w:val="24"/>
          <w:szCs w:val="24"/>
        </w:rPr>
        <w:t>具备履行合同所必需的设备和专业技术能力的证明材料</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7、产品彩页资料；</w:t>
      </w:r>
    </w:p>
    <w:p>
      <w:pPr>
        <w:spacing w:line="360" w:lineRule="auto"/>
        <w:ind w:firstLine="480" w:firstLineChars="200"/>
        <w:rPr>
          <w:rFonts w:ascii="宋体"/>
          <w:sz w:val="24"/>
          <w:szCs w:val="24"/>
        </w:rPr>
      </w:pPr>
      <w:r>
        <w:rPr>
          <w:rFonts w:hint="eastAsia" w:ascii="宋体"/>
          <w:sz w:val="24"/>
          <w:szCs w:val="24"/>
        </w:rPr>
        <w:t>8、比选人销售业绩证明，必须有购销合同复印件或中标通知书等证明资料；</w:t>
      </w:r>
    </w:p>
    <w:p>
      <w:pPr>
        <w:spacing w:line="360" w:lineRule="auto"/>
        <w:ind w:firstLine="480" w:firstLineChars="200"/>
        <w:rPr>
          <w:rFonts w:ascii="宋体"/>
          <w:sz w:val="24"/>
          <w:szCs w:val="24"/>
        </w:rPr>
      </w:pPr>
      <w:r>
        <w:rPr>
          <w:rFonts w:hint="eastAsia" w:ascii="宋体"/>
          <w:sz w:val="24"/>
          <w:szCs w:val="24"/>
        </w:rPr>
        <w:t>9、产品报价明细表；</w:t>
      </w:r>
    </w:p>
    <w:p>
      <w:pPr>
        <w:spacing w:line="360" w:lineRule="auto"/>
        <w:ind w:firstLine="480" w:firstLineChars="200"/>
        <w:rPr>
          <w:rFonts w:ascii="宋体"/>
          <w:sz w:val="24"/>
          <w:szCs w:val="24"/>
        </w:rPr>
      </w:pPr>
      <w:r>
        <w:rPr>
          <w:rFonts w:hint="eastAsia" w:ascii="宋体"/>
          <w:sz w:val="24"/>
          <w:szCs w:val="24"/>
        </w:rPr>
        <w:t>10、比选产品技术参数响应表；</w:t>
      </w:r>
    </w:p>
    <w:p>
      <w:pPr>
        <w:spacing w:line="360" w:lineRule="auto"/>
        <w:ind w:firstLine="480" w:firstLineChars="200"/>
        <w:rPr>
          <w:rFonts w:ascii="宋体"/>
          <w:sz w:val="24"/>
          <w:szCs w:val="24"/>
        </w:rPr>
      </w:pPr>
      <w:r>
        <w:rPr>
          <w:rFonts w:hint="eastAsia" w:ascii="宋体"/>
          <w:sz w:val="24"/>
          <w:szCs w:val="24"/>
        </w:rPr>
        <w:t>11、产品配置清单；</w:t>
      </w:r>
    </w:p>
    <w:p>
      <w:pPr>
        <w:spacing w:line="360" w:lineRule="auto"/>
        <w:ind w:firstLine="480" w:firstLineChars="200"/>
        <w:rPr>
          <w:rFonts w:ascii="宋体"/>
          <w:sz w:val="24"/>
          <w:szCs w:val="24"/>
        </w:rPr>
      </w:pPr>
      <w:r>
        <w:rPr>
          <w:rFonts w:hint="eastAsia" w:ascii="宋体"/>
          <w:sz w:val="24"/>
          <w:szCs w:val="24"/>
        </w:rPr>
        <w:t>12、商务应答表；</w:t>
      </w:r>
    </w:p>
    <w:p>
      <w:pPr>
        <w:spacing w:line="360" w:lineRule="auto"/>
        <w:ind w:firstLine="480" w:firstLineChars="200"/>
        <w:rPr>
          <w:rFonts w:ascii="宋体"/>
          <w:sz w:val="24"/>
          <w:szCs w:val="24"/>
        </w:rPr>
      </w:pPr>
      <w:r>
        <w:rPr>
          <w:rFonts w:hint="eastAsia" w:ascii="宋体"/>
          <w:sz w:val="24"/>
          <w:szCs w:val="24"/>
        </w:rPr>
        <w:t>13、若投标产品及其配置产品为医疗器械的，投标产品及其配置产品须符合《医疗器械注册与备案管理办法》要求并提供中华人民共和国医疗器械注册证或备案凭证；</w:t>
      </w:r>
    </w:p>
    <w:p>
      <w:pPr>
        <w:spacing w:line="360" w:lineRule="auto"/>
        <w:ind w:firstLine="480" w:firstLineChars="200"/>
        <w:rPr>
          <w:rFonts w:ascii="宋体"/>
          <w:sz w:val="24"/>
          <w:szCs w:val="24"/>
        </w:rPr>
      </w:pPr>
      <w:r>
        <w:rPr>
          <w:rFonts w:hint="eastAsia" w:ascii="宋体"/>
          <w:sz w:val="24"/>
          <w:szCs w:val="24"/>
        </w:rPr>
        <w:t>14、若投标产品及其配置产品为医疗器械的，供应商若为投标产品生产厂家，须符合《医疗器械监督管理条例》要求并提供中华人民共和国医疗器械生产许可证或生产备案凭证；供应商若为投标产品非生产厂家，须符合《医疗器械监督管理条例》要求并提供中华人民共和国医疗器械经营企业许可证或经营备案凭证（已提供包含二类备案的多证合一营业执照的供应商除外）。</w:t>
      </w:r>
    </w:p>
    <w:p>
      <w:pPr>
        <w:spacing w:line="360" w:lineRule="auto"/>
        <w:ind w:firstLine="482" w:firstLineChars="200"/>
        <w:rPr>
          <w:rFonts w:ascii="宋体"/>
          <w:b/>
          <w:sz w:val="24"/>
          <w:szCs w:val="24"/>
        </w:rPr>
      </w:pPr>
      <w:r>
        <w:rPr>
          <w:rFonts w:hint="eastAsia" w:ascii="宋体"/>
          <w:b/>
          <w:sz w:val="24"/>
          <w:szCs w:val="24"/>
        </w:rPr>
        <w:t>以上要求比选人提供的文件资料（含复印件）必须加盖比选人印章（鲜章）。</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ascii="方正小标宋简体" w:eastAsia="方正小标宋简体"/>
          <w:sz w:val="32"/>
          <w:szCs w:val="32"/>
        </w:rPr>
      </w:pPr>
      <w:r>
        <w:rPr>
          <w:rFonts w:hint="eastAsia" w:ascii="方正小标宋简体" w:eastAsia="方正小标宋简体"/>
          <w:sz w:val="32"/>
          <w:szCs w:val="32"/>
        </w:rPr>
        <w:t>技术参数及</w:t>
      </w:r>
      <w:r>
        <w:rPr>
          <w:rFonts w:hint="eastAsia" w:ascii="方正小标宋简体" w:eastAsia="方正小标宋简体"/>
          <w:color w:val="000000" w:themeColor="text1"/>
          <w:sz w:val="32"/>
          <w:szCs w:val="32"/>
          <w14:textFill>
            <w14:solidFill>
              <w14:schemeClr w14:val="tx1"/>
            </w14:solidFill>
          </w14:textFill>
        </w:rPr>
        <w:t>商务</w:t>
      </w:r>
      <w:r>
        <w:rPr>
          <w:rFonts w:hint="eastAsia" w:ascii="方正小标宋简体" w:eastAsia="方正小标宋简体"/>
          <w:sz w:val="32"/>
          <w:szCs w:val="32"/>
        </w:rPr>
        <w:t>要求</w:t>
      </w:r>
    </w:p>
    <w:p>
      <w:pPr>
        <w:spacing w:before="100" w:beforeAutospacing="1" w:after="100" w:afterAutospacing="1" w:line="360" w:lineRule="auto"/>
        <w:jc w:val="center"/>
        <w:rPr>
          <w:rFonts w:ascii="方正小标宋简体" w:eastAsia="方正小标宋简体"/>
          <w:sz w:val="30"/>
          <w:szCs w:val="30"/>
        </w:rPr>
      </w:pPr>
      <w:r>
        <w:rPr>
          <w:rFonts w:hint="eastAsia" w:ascii="方正小标宋简体" w:eastAsia="方正小标宋简体"/>
          <w:sz w:val="30"/>
          <w:szCs w:val="30"/>
        </w:rPr>
        <w:t>一、三通道靶控注射泵（带TCI功能）技术参数与配置要求</w:t>
      </w:r>
    </w:p>
    <w:p>
      <w:pPr>
        <w:spacing w:line="360" w:lineRule="auto"/>
        <w:ind w:firstLine="562" w:firstLineChars="200"/>
        <w:rPr>
          <w:b/>
          <w:sz w:val="28"/>
          <w:szCs w:val="28"/>
        </w:rPr>
      </w:pPr>
      <w:r>
        <w:rPr>
          <w:rFonts w:hint="eastAsia"/>
          <w:b/>
          <w:sz w:val="28"/>
          <w:szCs w:val="28"/>
        </w:rPr>
        <w:t>（一）功能要求</w:t>
      </w:r>
    </w:p>
    <w:p>
      <w:pPr>
        <w:pStyle w:val="14"/>
        <w:numPr>
          <w:ilvl w:val="0"/>
          <w:numId w:val="1"/>
        </w:numPr>
        <w:spacing w:line="360" w:lineRule="auto"/>
        <w:ind w:left="0" w:firstLine="560"/>
        <w:rPr>
          <w:sz w:val="28"/>
          <w:szCs w:val="28"/>
        </w:rPr>
      </w:pPr>
      <w:r>
        <w:rPr>
          <w:rFonts w:hint="eastAsia"/>
          <w:sz w:val="28"/>
          <w:szCs w:val="28"/>
        </w:rPr>
        <w:t>★三通道一体机，非组合式。</w:t>
      </w:r>
    </w:p>
    <w:p>
      <w:pPr>
        <w:pStyle w:val="14"/>
        <w:numPr>
          <w:ilvl w:val="0"/>
          <w:numId w:val="1"/>
        </w:numPr>
        <w:spacing w:line="360" w:lineRule="auto"/>
        <w:ind w:left="0" w:firstLine="560"/>
        <w:rPr>
          <w:sz w:val="28"/>
          <w:szCs w:val="28"/>
        </w:rPr>
      </w:pPr>
      <w:r>
        <w:rPr>
          <w:rFonts w:hint="eastAsia"/>
          <w:sz w:val="28"/>
          <w:szCs w:val="28"/>
        </w:rPr>
        <w:t>可至少自动识别20、50ml注射器。</w:t>
      </w:r>
    </w:p>
    <w:p>
      <w:pPr>
        <w:pStyle w:val="14"/>
        <w:numPr>
          <w:ilvl w:val="0"/>
          <w:numId w:val="1"/>
        </w:numPr>
        <w:spacing w:line="360" w:lineRule="auto"/>
        <w:ind w:left="0" w:firstLine="560"/>
        <w:rPr>
          <w:sz w:val="28"/>
          <w:szCs w:val="28"/>
        </w:rPr>
      </w:pPr>
      <w:r>
        <w:rPr>
          <w:rFonts w:hint="eastAsia"/>
          <w:sz w:val="28"/>
          <w:szCs w:val="28"/>
        </w:rPr>
        <w:t>可至少同时使用三个注射器注射三种药物。。</w:t>
      </w:r>
    </w:p>
    <w:p>
      <w:pPr>
        <w:pStyle w:val="14"/>
        <w:numPr>
          <w:ilvl w:val="0"/>
          <w:numId w:val="1"/>
        </w:numPr>
        <w:spacing w:line="360" w:lineRule="auto"/>
        <w:ind w:left="0" w:firstLine="560"/>
        <w:rPr>
          <w:sz w:val="28"/>
          <w:szCs w:val="28"/>
        </w:rPr>
      </w:pPr>
      <w:r>
        <w:rPr>
          <w:rFonts w:hint="eastAsia"/>
          <w:sz w:val="28"/>
          <w:szCs w:val="28"/>
        </w:rPr>
        <w:t>★具有血浆靶控、效应室靶控、恒速、药物库四种输注模式。</w:t>
      </w:r>
    </w:p>
    <w:p>
      <w:pPr>
        <w:pStyle w:val="14"/>
        <w:numPr>
          <w:ilvl w:val="0"/>
          <w:numId w:val="1"/>
        </w:numPr>
        <w:spacing w:line="360" w:lineRule="auto"/>
        <w:ind w:left="0" w:firstLine="560"/>
        <w:rPr>
          <w:sz w:val="28"/>
          <w:szCs w:val="28"/>
        </w:rPr>
      </w:pPr>
      <w:r>
        <w:rPr>
          <w:rFonts w:hint="eastAsia"/>
          <w:sz w:val="28"/>
          <w:szCs w:val="28"/>
        </w:rPr>
        <w:t>★可以靶控输注的药物有：异丙酚、咪唑安定、瑞芬太尼、舒芬太尼、阿芬太尼、芬太尼、罗库溴胺、阿曲库胺、维库溴胺、右美托咪定药物等。</w:t>
      </w:r>
    </w:p>
    <w:p>
      <w:pPr>
        <w:pStyle w:val="14"/>
        <w:numPr>
          <w:ilvl w:val="0"/>
          <w:numId w:val="1"/>
        </w:numPr>
        <w:spacing w:line="360" w:lineRule="auto"/>
        <w:ind w:left="0" w:firstLine="560"/>
        <w:rPr>
          <w:sz w:val="28"/>
          <w:szCs w:val="28"/>
        </w:rPr>
      </w:pPr>
      <w:r>
        <w:rPr>
          <w:rFonts w:hint="eastAsia"/>
          <w:sz w:val="28"/>
          <w:szCs w:val="28"/>
        </w:rPr>
        <w:t>具有靶浓度与剂量换算功能，具有优化TCI功能，解决个体化差异和术前用药问题。</w:t>
      </w:r>
    </w:p>
    <w:p>
      <w:pPr>
        <w:pStyle w:val="14"/>
        <w:numPr>
          <w:ilvl w:val="0"/>
          <w:numId w:val="1"/>
        </w:numPr>
        <w:spacing w:line="360" w:lineRule="auto"/>
        <w:ind w:left="0" w:firstLine="560"/>
        <w:rPr>
          <w:sz w:val="28"/>
          <w:szCs w:val="28"/>
        </w:rPr>
      </w:pPr>
      <w:r>
        <w:rPr>
          <w:rFonts w:hint="eastAsia"/>
          <w:sz w:val="28"/>
          <w:szCs w:val="28"/>
        </w:rPr>
        <w:t>恒速输注功能可选择速度单位有：ml/h、ug/kg/min、ug/kg/h、mg/kg/min、mg/kg/h、mg/h、ug/h。</w:t>
      </w:r>
    </w:p>
    <w:p>
      <w:pPr>
        <w:pStyle w:val="14"/>
        <w:numPr>
          <w:ilvl w:val="0"/>
          <w:numId w:val="1"/>
        </w:numPr>
        <w:spacing w:line="360" w:lineRule="auto"/>
        <w:ind w:left="0" w:firstLine="560"/>
        <w:rPr>
          <w:sz w:val="28"/>
          <w:szCs w:val="28"/>
        </w:rPr>
      </w:pPr>
      <w:r>
        <w:rPr>
          <w:rFonts w:hint="eastAsia"/>
          <w:sz w:val="28"/>
          <w:szCs w:val="28"/>
        </w:rPr>
        <w:t>内置可充电锂电池，电池工作时间≥2h。</w:t>
      </w:r>
    </w:p>
    <w:p>
      <w:pPr>
        <w:pStyle w:val="14"/>
        <w:spacing w:line="360" w:lineRule="auto"/>
        <w:ind w:firstLine="562"/>
        <w:rPr>
          <w:b/>
          <w:sz w:val="28"/>
          <w:szCs w:val="28"/>
        </w:rPr>
      </w:pPr>
      <w:r>
        <w:rPr>
          <w:rFonts w:hint="eastAsia"/>
          <w:b/>
          <w:sz w:val="28"/>
          <w:szCs w:val="28"/>
        </w:rPr>
        <w:t>（二）性能指标</w:t>
      </w:r>
    </w:p>
    <w:p>
      <w:pPr>
        <w:pStyle w:val="14"/>
        <w:numPr>
          <w:ilvl w:val="0"/>
          <w:numId w:val="2"/>
        </w:numPr>
        <w:spacing w:line="360" w:lineRule="auto"/>
        <w:ind w:left="0" w:firstLine="560"/>
        <w:rPr>
          <w:sz w:val="28"/>
          <w:szCs w:val="28"/>
        </w:rPr>
      </w:pPr>
      <w:r>
        <w:rPr>
          <w:rFonts w:hint="eastAsia"/>
          <w:sz w:val="28"/>
          <w:szCs w:val="28"/>
        </w:rPr>
        <w:t>输注速度范围：输注速度在0.1ml/h至10ml/h之间时，最小步进为0.1ml/h；输注速度在10ml/h至100ml/h之间时，最小步进为1ml/h；输注速度在100ml/h至200ml/h之间时，最小步进为10ml/h。</w:t>
      </w:r>
    </w:p>
    <w:p>
      <w:pPr>
        <w:pStyle w:val="14"/>
        <w:spacing w:line="360" w:lineRule="auto"/>
        <w:ind w:firstLine="560"/>
        <w:rPr>
          <w:sz w:val="28"/>
          <w:szCs w:val="28"/>
        </w:rPr>
      </w:pPr>
      <w:r>
        <w:rPr>
          <w:rFonts w:hint="eastAsia"/>
          <w:sz w:val="28"/>
          <w:szCs w:val="28"/>
        </w:rPr>
        <w:t>20ml注射器：0.1-600ml/h      50注射器：0.1-1200ml/h</w:t>
      </w:r>
    </w:p>
    <w:p>
      <w:pPr>
        <w:pStyle w:val="14"/>
        <w:numPr>
          <w:ilvl w:val="0"/>
          <w:numId w:val="2"/>
        </w:numPr>
        <w:spacing w:line="360" w:lineRule="auto"/>
        <w:ind w:left="0" w:firstLine="560"/>
        <w:rPr>
          <w:sz w:val="28"/>
          <w:szCs w:val="28"/>
        </w:rPr>
      </w:pPr>
      <w:r>
        <w:rPr>
          <w:rFonts w:hint="eastAsia"/>
          <w:sz w:val="28"/>
          <w:szCs w:val="28"/>
        </w:rPr>
        <w:t>预设输注总量范围：最小步进1ml。</w:t>
      </w:r>
    </w:p>
    <w:p>
      <w:pPr>
        <w:pStyle w:val="14"/>
        <w:spacing w:line="360" w:lineRule="auto"/>
        <w:ind w:firstLine="560"/>
        <w:rPr>
          <w:sz w:val="28"/>
          <w:szCs w:val="28"/>
        </w:rPr>
      </w:pPr>
      <w:r>
        <w:rPr>
          <w:rFonts w:hint="eastAsia"/>
          <w:sz w:val="28"/>
          <w:szCs w:val="28"/>
        </w:rPr>
        <w:t>20ml注射器： 1-20ml      50注射器： 1-60ml</w:t>
      </w:r>
    </w:p>
    <w:p>
      <w:pPr>
        <w:pStyle w:val="14"/>
        <w:numPr>
          <w:ilvl w:val="0"/>
          <w:numId w:val="2"/>
        </w:numPr>
        <w:spacing w:line="360" w:lineRule="auto"/>
        <w:ind w:left="0" w:firstLine="560"/>
        <w:rPr>
          <w:sz w:val="28"/>
          <w:szCs w:val="28"/>
        </w:rPr>
      </w:pPr>
      <w:r>
        <w:rPr>
          <w:rFonts w:hint="eastAsia"/>
          <w:sz w:val="28"/>
          <w:szCs w:val="28"/>
        </w:rPr>
        <w:t>快速输注速度范围：步进</w:t>
      </w:r>
      <w:r>
        <w:rPr>
          <w:sz w:val="28"/>
          <w:szCs w:val="28"/>
        </w:rPr>
        <w:t>100ml/h</w:t>
      </w:r>
      <w:r>
        <w:rPr>
          <w:rFonts w:hint="eastAsia"/>
          <w:sz w:val="28"/>
          <w:szCs w:val="28"/>
        </w:rPr>
        <w:t>。</w:t>
      </w:r>
    </w:p>
    <w:p>
      <w:pPr>
        <w:pStyle w:val="14"/>
        <w:spacing w:line="360" w:lineRule="auto"/>
        <w:ind w:firstLine="560"/>
        <w:rPr>
          <w:sz w:val="28"/>
          <w:szCs w:val="28"/>
        </w:rPr>
      </w:pPr>
      <w:r>
        <w:rPr>
          <w:rFonts w:hint="eastAsia"/>
          <w:sz w:val="28"/>
          <w:szCs w:val="28"/>
        </w:rPr>
        <w:t>20ml注射器： 100-400ml/h      50注射器： 100-600ml/h</w:t>
      </w:r>
    </w:p>
    <w:p>
      <w:pPr>
        <w:pStyle w:val="14"/>
        <w:numPr>
          <w:ilvl w:val="0"/>
          <w:numId w:val="2"/>
        </w:numPr>
        <w:spacing w:line="360" w:lineRule="auto"/>
        <w:ind w:left="0" w:firstLine="560"/>
        <w:rPr>
          <w:sz w:val="28"/>
          <w:szCs w:val="28"/>
        </w:rPr>
      </w:pPr>
      <w:r>
        <w:rPr>
          <w:rFonts w:hint="eastAsia"/>
          <w:sz w:val="28"/>
          <w:szCs w:val="28"/>
        </w:rPr>
        <w:t>★输注速度最大误差：≤±3%。</w:t>
      </w:r>
    </w:p>
    <w:p>
      <w:pPr>
        <w:pStyle w:val="14"/>
        <w:spacing w:line="360" w:lineRule="auto"/>
        <w:ind w:firstLine="560"/>
        <w:rPr>
          <w:sz w:val="28"/>
          <w:szCs w:val="28"/>
        </w:rPr>
      </w:pPr>
      <w:r>
        <w:rPr>
          <w:rFonts w:hint="eastAsia"/>
          <w:sz w:val="28"/>
          <w:szCs w:val="28"/>
        </w:rPr>
        <w:t>5、报警功能：外接电源掉电报警、内置电池欠压报警、注射器推空/管道阻塞报警、注射器脱落报警、注射预设量完毕报警、药物将尽报警、运行提示报警等。</w:t>
      </w:r>
    </w:p>
    <w:p>
      <w:pPr>
        <w:pStyle w:val="14"/>
        <w:spacing w:line="360" w:lineRule="auto"/>
        <w:ind w:firstLine="562"/>
        <w:rPr>
          <w:b/>
          <w:sz w:val="28"/>
          <w:szCs w:val="28"/>
        </w:rPr>
      </w:pPr>
      <w:r>
        <w:rPr>
          <w:rFonts w:hint="eastAsia"/>
          <w:b/>
          <w:sz w:val="28"/>
          <w:szCs w:val="28"/>
        </w:rPr>
        <w:t>（三）配置清单：</w:t>
      </w:r>
    </w:p>
    <w:p>
      <w:pPr>
        <w:pStyle w:val="14"/>
        <w:numPr>
          <w:ilvl w:val="0"/>
          <w:numId w:val="3"/>
        </w:numPr>
        <w:spacing w:line="360" w:lineRule="auto"/>
        <w:ind w:left="0" w:firstLine="560"/>
        <w:rPr>
          <w:sz w:val="28"/>
          <w:szCs w:val="28"/>
        </w:rPr>
      </w:pPr>
      <w:r>
        <w:rPr>
          <w:rFonts w:hint="eastAsia"/>
          <w:sz w:val="28"/>
          <w:szCs w:val="28"/>
        </w:rPr>
        <w:t>主机1台；</w:t>
      </w:r>
    </w:p>
    <w:p>
      <w:pPr>
        <w:pStyle w:val="14"/>
        <w:numPr>
          <w:ilvl w:val="0"/>
          <w:numId w:val="3"/>
        </w:numPr>
        <w:spacing w:line="360" w:lineRule="auto"/>
        <w:ind w:left="0" w:firstLine="560"/>
        <w:rPr>
          <w:sz w:val="28"/>
          <w:szCs w:val="28"/>
        </w:rPr>
      </w:pPr>
      <w:r>
        <w:rPr>
          <w:rFonts w:hint="eastAsia"/>
          <w:sz w:val="28"/>
          <w:szCs w:val="28"/>
        </w:rPr>
        <w:t>泵固定夹1个；</w:t>
      </w:r>
    </w:p>
    <w:p>
      <w:pPr>
        <w:pStyle w:val="14"/>
        <w:numPr>
          <w:ilvl w:val="0"/>
          <w:numId w:val="3"/>
        </w:numPr>
        <w:spacing w:line="360" w:lineRule="auto"/>
        <w:ind w:left="0" w:firstLine="560"/>
        <w:rPr>
          <w:sz w:val="28"/>
          <w:szCs w:val="28"/>
        </w:rPr>
      </w:pPr>
      <w:r>
        <w:rPr>
          <w:rFonts w:hint="eastAsia"/>
          <w:sz w:val="28"/>
          <w:szCs w:val="28"/>
        </w:rPr>
        <w:t>泵固定移动支架1个。</w:t>
      </w:r>
    </w:p>
    <w:p>
      <w:pPr>
        <w:spacing w:line="360" w:lineRule="auto"/>
        <w:ind w:firstLine="420" w:firstLineChars="200"/>
      </w:pPr>
    </w:p>
    <w:p>
      <w:pPr>
        <w:spacing w:line="360" w:lineRule="auto"/>
        <w:jc w:val="center"/>
        <w:rPr>
          <w:rFonts w:ascii="方正小标宋简体" w:eastAsia="方正小标宋简体"/>
          <w:sz w:val="30"/>
          <w:szCs w:val="30"/>
        </w:rPr>
      </w:pPr>
      <w:r>
        <w:rPr>
          <w:rFonts w:hint="eastAsia" w:ascii="方正小标宋简体" w:eastAsia="方正小标宋简体"/>
          <w:sz w:val="30"/>
          <w:szCs w:val="30"/>
        </w:rPr>
        <w:t>二、动态心电血压二合一分析记录系统参数</w:t>
      </w:r>
    </w:p>
    <w:p>
      <w:pPr>
        <w:pStyle w:val="15"/>
        <w:spacing w:line="360" w:lineRule="auto"/>
        <w:ind w:firstLine="560" w:firstLineChars="200"/>
        <w:contextualSpacing/>
        <w:jc w:val="both"/>
        <w:rPr>
          <w:sz w:val="28"/>
          <w:szCs w:val="28"/>
        </w:rPr>
      </w:pPr>
    </w:p>
    <w:p>
      <w:pPr>
        <w:pStyle w:val="15"/>
        <w:spacing w:line="360" w:lineRule="auto"/>
        <w:ind w:firstLine="562" w:firstLineChars="200"/>
        <w:contextualSpacing/>
        <w:jc w:val="both"/>
        <w:rPr>
          <w:b/>
          <w:sz w:val="28"/>
          <w:szCs w:val="28"/>
        </w:rPr>
      </w:pPr>
      <w:r>
        <w:rPr>
          <w:rFonts w:hint="eastAsia"/>
          <w:b/>
          <w:sz w:val="28"/>
          <w:szCs w:val="28"/>
        </w:rPr>
        <w:t>（一）</w:t>
      </w:r>
      <w:r>
        <w:rPr>
          <w:b/>
          <w:sz w:val="28"/>
          <w:szCs w:val="28"/>
        </w:rPr>
        <w:t>仪器要求：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w:t>
      </w:r>
      <w:r>
        <w:rPr>
          <w:rFonts w:hint="eastAsia"/>
          <w:sz w:val="28"/>
          <w:szCs w:val="28"/>
        </w:rPr>
        <w:t>★</w:t>
      </w:r>
      <w:r>
        <w:rPr>
          <w:sz w:val="28"/>
          <w:szCs w:val="28"/>
        </w:rPr>
        <w:t>动态心电图和动态血压两种检查可以一次完成。</w:t>
      </w:r>
    </w:p>
    <w:p>
      <w:pPr>
        <w:pStyle w:val="15"/>
        <w:spacing w:line="360" w:lineRule="auto"/>
        <w:ind w:firstLine="562" w:firstLineChars="200"/>
        <w:contextualSpacing/>
        <w:jc w:val="both"/>
        <w:rPr>
          <w:sz w:val="28"/>
          <w:szCs w:val="28"/>
        </w:rPr>
      </w:pPr>
      <w:r>
        <w:rPr>
          <w:rFonts w:hint="eastAsia"/>
          <w:b/>
          <w:sz w:val="28"/>
          <w:szCs w:val="28"/>
        </w:rPr>
        <w:t>（二）</w:t>
      </w:r>
      <w:r>
        <w:rPr>
          <w:b/>
          <w:sz w:val="28"/>
          <w:szCs w:val="28"/>
        </w:rPr>
        <w:t>系统要求：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、可以同步记录和显示心电和血压数据。</w:t>
      </w:r>
    </w:p>
    <w:p>
      <w:pPr>
        <w:pStyle w:val="15"/>
        <w:spacing w:line="360" w:lineRule="auto"/>
        <w:ind w:firstLine="560" w:firstLineChars="200"/>
        <w:contextualSpacing/>
        <w:jc w:val="both"/>
        <w:rPr>
          <w:sz w:val="28"/>
          <w:szCs w:val="28"/>
        </w:rPr>
      </w:pPr>
      <w:r>
        <w:rPr>
          <w:rFonts w:ascii="Calibri" w:hAnsi="Calibri" w:eastAsia="Calibri" w:cs="Calibri"/>
          <w:sz w:val="28"/>
          <w:szCs w:val="28"/>
        </w:rPr>
        <w:t>2</w:t>
      </w:r>
      <w:r>
        <w:rPr>
          <w:sz w:val="28"/>
          <w:szCs w:val="28"/>
        </w:rPr>
        <w:t>、可以分别进行报告分析并合成为一份报告。</w:t>
      </w:r>
    </w:p>
    <w:p>
      <w:pPr>
        <w:pStyle w:val="15"/>
        <w:spacing w:line="360" w:lineRule="auto"/>
        <w:ind w:firstLine="560" w:firstLineChars="200"/>
        <w:contextualSpacing/>
        <w:jc w:val="both"/>
        <w:rPr>
          <w:sz w:val="28"/>
          <w:szCs w:val="28"/>
        </w:rPr>
      </w:pPr>
      <w:r>
        <w:rPr>
          <w:rFonts w:ascii="Calibri" w:hAnsi="Calibri" w:eastAsia="Calibri" w:cs="Calibri"/>
          <w:sz w:val="28"/>
          <w:szCs w:val="28"/>
        </w:rPr>
        <w:t>3</w:t>
      </w:r>
      <w:r>
        <w:rPr>
          <w:sz w:val="28"/>
          <w:szCs w:val="28"/>
        </w:rPr>
        <w:t>、具有报告自动分析诊断功能。</w:t>
      </w:r>
    </w:p>
    <w:p>
      <w:pPr>
        <w:pStyle w:val="15"/>
        <w:spacing w:line="360" w:lineRule="auto"/>
        <w:ind w:firstLine="560" w:firstLineChars="200"/>
        <w:contextualSpacing/>
        <w:jc w:val="both"/>
        <w:rPr>
          <w:sz w:val="28"/>
          <w:szCs w:val="28"/>
        </w:rPr>
      </w:pPr>
      <w:r>
        <w:rPr>
          <w:rFonts w:ascii="Calibri" w:hAnsi="Calibri" w:eastAsia="Calibri" w:cs="Calibri"/>
          <w:sz w:val="28"/>
          <w:szCs w:val="28"/>
        </w:rPr>
        <w:t>4</w:t>
      </w:r>
      <w:r>
        <w:rPr>
          <w:sz w:val="28"/>
          <w:szCs w:val="28"/>
        </w:rPr>
        <w:t>、该系统可以进行医疗数据网络传输和分析管理。</w:t>
      </w:r>
    </w:p>
    <w:p>
      <w:pPr>
        <w:pStyle w:val="15"/>
        <w:spacing w:line="360" w:lineRule="auto"/>
        <w:ind w:firstLine="560" w:firstLineChars="200"/>
        <w:contextualSpacing/>
        <w:jc w:val="both"/>
        <w:rPr>
          <w:sz w:val="28"/>
          <w:szCs w:val="28"/>
        </w:rPr>
      </w:pPr>
      <w:r>
        <w:rPr>
          <w:rFonts w:ascii="Calibri" w:hAnsi="Calibri" w:eastAsia="Calibri" w:cs="Calibri"/>
          <w:sz w:val="28"/>
          <w:szCs w:val="28"/>
        </w:rPr>
        <w:t>5</w:t>
      </w:r>
      <w:r>
        <w:rPr>
          <w:sz w:val="28"/>
          <w:szCs w:val="28"/>
        </w:rPr>
        <w:t>、该系统报告可免费接入将来的心电网络和医院的</w:t>
      </w:r>
      <w:r>
        <w:rPr>
          <w:rFonts w:ascii="Calibri" w:hAnsi="Calibri" w:eastAsia="Calibri" w:cs="Calibri"/>
          <w:sz w:val="28"/>
          <w:szCs w:val="28"/>
          <w:lang w:val="en-US" w:bidi="en-US"/>
        </w:rPr>
        <w:t>HIS</w:t>
      </w:r>
      <w:r>
        <w:rPr>
          <w:sz w:val="28"/>
          <w:szCs w:val="28"/>
        </w:rPr>
        <w:t>系统。</w:t>
      </w:r>
    </w:p>
    <w:p>
      <w:pPr>
        <w:pStyle w:val="15"/>
        <w:spacing w:line="360" w:lineRule="auto"/>
        <w:ind w:firstLine="562" w:firstLineChars="200"/>
        <w:contextualSpacing/>
        <w:jc w:val="both"/>
        <w:rPr>
          <w:b/>
          <w:sz w:val="28"/>
          <w:szCs w:val="28"/>
        </w:rPr>
      </w:pPr>
      <w:r>
        <w:rPr>
          <w:rFonts w:hint="eastAsia"/>
          <w:b/>
          <w:sz w:val="28"/>
          <w:szCs w:val="28"/>
        </w:rPr>
        <w:t>（三）</w:t>
      </w:r>
      <w:r>
        <w:rPr>
          <w:b/>
          <w:sz w:val="28"/>
          <w:szCs w:val="28"/>
        </w:rPr>
        <w:t>动态血压功能参数要求：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w:t>
      </w:r>
      <w:r>
        <w:rPr>
          <w:rFonts w:hint="eastAsia"/>
          <w:sz w:val="28"/>
          <w:szCs w:val="28"/>
        </w:rPr>
        <w:t>★</w:t>
      </w:r>
      <w:r>
        <w:rPr>
          <w:sz w:val="28"/>
          <w:szCs w:val="28"/>
        </w:rPr>
        <w:t>可以记录</w:t>
      </w:r>
      <w:r>
        <w:rPr>
          <w:rFonts w:ascii="Calibri" w:hAnsi="Calibri" w:eastAsia="Calibri" w:cs="Calibri"/>
          <w:sz w:val="28"/>
          <w:szCs w:val="28"/>
        </w:rPr>
        <w:t>24</w:t>
      </w:r>
      <w:r>
        <w:rPr>
          <w:sz w:val="28"/>
          <w:szCs w:val="28"/>
        </w:rPr>
        <w:t>小时以上的血压测量数据。</w:t>
      </w:r>
    </w:p>
    <w:p>
      <w:pPr>
        <w:pStyle w:val="16"/>
        <w:spacing w:line="360" w:lineRule="auto"/>
        <w:ind w:firstLine="560" w:firstLineChars="200"/>
        <w:contextualSpacing/>
        <w:jc w:val="both"/>
        <w:rPr>
          <w:sz w:val="28"/>
          <w:szCs w:val="28"/>
        </w:rPr>
      </w:pPr>
      <w:r>
        <w:rPr>
          <w:sz w:val="28"/>
          <w:szCs w:val="28"/>
        </w:rPr>
        <w:t>2</w:t>
      </w:r>
      <w:r>
        <w:rPr>
          <w:rFonts w:ascii="宋体" w:hAnsi="宋体" w:eastAsia="宋体" w:cs="宋体"/>
          <w:sz w:val="28"/>
          <w:szCs w:val="28"/>
        </w:rPr>
        <w:t>、多种记录时间间隔可供选择：</w:t>
      </w:r>
      <w:r>
        <w:rPr>
          <w:sz w:val="28"/>
          <w:szCs w:val="28"/>
        </w:rPr>
        <w:t>10</w:t>
      </w:r>
      <w:r>
        <w:rPr>
          <w:rFonts w:hint="eastAsia" w:eastAsiaTheme="minorEastAsia"/>
          <w:sz w:val="28"/>
          <w:szCs w:val="28"/>
        </w:rPr>
        <w:t>、</w:t>
      </w:r>
      <w:r>
        <w:rPr>
          <w:sz w:val="28"/>
          <w:szCs w:val="28"/>
        </w:rPr>
        <w:t>20</w:t>
      </w:r>
      <w:r>
        <w:rPr>
          <w:rFonts w:hint="eastAsia" w:eastAsiaTheme="minorEastAsia"/>
          <w:sz w:val="28"/>
          <w:szCs w:val="28"/>
        </w:rPr>
        <w:t>、</w:t>
      </w:r>
      <w:r>
        <w:rPr>
          <w:sz w:val="28"/>
          <w:szCs w:val="28"/>
        </w:rPr>
        <w:t>30</w:t>
      </w:r>
      <w:r>
        <w:rPr>
          <w:rFonts w:hint="eastAsia" w:eastAsiaTheme="minorEastAsia"/>
          <w:sz w:val="28"/>
          <w:szCs w:val="28"/>
        </w:rPr>
        <w:t>、</w:t>
      </w:r>
      <w:r>
        <w:rPr>
          <w:sz w:val="28"/>
          <w:szCs w:val="28"/>
        </w:rPr>
        <w:t>60</w:t>
      </w:r>
      <w:r>
        <w:rPr>
          <w:rFonts w:hint="eastAsia" w:eastAsiaTheme="minorEastAsia"/>
          <w:sz w:val="28"/>
          <w:szCs w:val="28"/>
        </w:rPr>
        <w:t>、</w:t>
      </w:r>
      <w:r>
        <w:rPr>
          <w:sz w:val="28"/>
          <w:szCs w:val="28"/>
        </w:rPr>
        <w:t>90</w:t>
      </w:r>
      <w:r>
        <w:rPr>
          <w:rFonts w:hint="eastAsia" w:eastAsiaTheme="minorEastAsia"/>
          <w:sz w:val="28"/>
          <w:szCs w:val="28"/>
        </w:rPr>
        <w:t>、</w:t>
      </w:r>
      <w:r>
        <w:rPr>
          <w:sz w:val="28"/>
          <w:szCs w:val="28"/>
        </w:rPr>
        <w:t>120</w:t>
      </w:r>
      <w:r>
        <w:rPr>
          <w:rFonts w:hint="eastAsia" w:eastAsiaTheme="minorEastAsia"/>
          <w:sz w:val="28"/>
          <w:szCs w:val="28"/>
        </w:rPr>
        <w:t>min；</w:t>
      </w:r>
      <w:r>
        <w:rPr>
          <w:sz w:val="28"/>
          <w:szCs w:val="28"/>
        </w:rPr>
        <w:t>测量模式：自动测量和手动测量。</w:t>
      </w:r>
    </w:p>
    <w:p>
      <w:pPr>
        <w:pStyle w:val="15"/>
        <w:spacing w:line="360" w:lineRule="auto"/>
        <w:ind w:firstLine="560" w:firstLineChars="200"/>
        <w:contextualSpacing/>
        <w:jc w:val="both"/>
        <w:rPr>
          <w:sz w:val="28"/>
          <w:szCs w:val="28"/>
        </w:rPr>
      </w:pPr>
      <w:r>
        <w:rPr>
          <w:rFonts w:ascii="Calibri" w:hAnsi="Calibri" w:eastAsia="Calibri" w:cs="Calibri"/>
          <w:sz w:val="28"/>
          <w:szCs w:val="28"/>
        </w:rPr>
        <w:t>4</w:t>
      </w:r>
      <w:r>
        <w:rPr>
          <w:sz w:val="28"/>
          <w:szCs w:val="28"/>
        </w:rPr>
        <w:t>、</w:t>
      </w:r>
      <w:r>
        <w:rPr>
          <w:rFonts w:hint="eastAsia"/>
          <w:sz w:val="28"/>
          <w:szCs w:val="28"/>
        </w:rPr>
        <w:t>★</w:t>
      </w:r>
      <w:r>
        <w:rPr>
          <w:sz w:val="28"/>
          <w:szCs w:val="28"/>
        </w:rPr>
        <w:t>测量方法：升压测量示波法，自动加压，自动排气。</w:t>
      </w:r>
    </w:p>
    <w:p>
      <w:pPr>
        <w:pStyle w:val="16"/>
        <w:spacing w:line="360" w:lineRule="auto"/>
        <w:ind w:firstLine="560" w:firstLineChars="200"/>
        <w:contextualSpacing/>
        <w:jc w:val="both"/>
        <w:rPr>
          <w:rFonts w:eastAsiaTheme="minorEastAsia"/>
          <w:sz w:val="28"/>
          <w:szCs w:val="28"/>
          <w:lang w:val="en-US" w:bidi="en-US"/>
        </w:rPr>
      </w:pPr>
      <w:r>
        <w:rPr>
          <w:sz w:val="28"/>
          <w:szCs w:val="28"/>
        </w:rPr>
        <w:t>5</w:t>
      </w:r>
      <w:r>
        <w:rPr>
          <w:rFonts w:ascii="宋体" w:hAnsi="宋体" w:eastAsia="宋体" w:cs="宋体"/>
          <w:sz w:val="28"/>
          <w:szCs w:val="28"/>
        </w:rPr>
        <w:t>、压力范围:</w:t>
      </w:r>
      <w:r>
        <w:rPr>
          <w:sz w:val="28"/>
          <w:szCs w:val="28"/>
          <w:lang w:val="en-US" w:bidi="en-US"/>
        </w:rPr>
        <w:t>0-290mmgh</w:t>
      </w:r>
      <w:r>
        <w:rPr>
          <w:rFonts w:hint="eastAsia" w:eastAsiaTheme="minorEastAsia"/>
          <w:sz w:val="28"/>
          <w:szCs w:val="28"/>
          <w:lang w:val="en-US" w:bidi="en-US"/>
        </w:rPr>
        <w:t>。</w:t>
      </w:r>
    </w:p>
    <w:p>
      <w:pPr>
        <w:pStyle w:val="16"/>
        <w:spacing w:line="360" w:lineRule="auto"/>
        <w:ind w:firstLine="560" w:firstLineChars="200"/>
        <w:contextualSpacing/>
        <w:jc w:val="both"/>
        <w:rPr>
          <w:sz w:val="28"/>
          <w:szCs w:val="28"/>
        </w:rPr>
      </w:pPr>
      <w:r>
        <w:rPr>
          <w:sz w:val="28"/>
          <w:szCs w:val="28"/>
        </w:rPr>
        <w:t>6、有过压保护功能，当袖带内压力大于</w:t>
      </w:r>
      <w:r>
        <w:rPr>
          <w:sz w:val="28"/>
          <w:szCs w:val="28"/>
          <w:lang w:val="en-US" w:bidi="en-US"/>
        </w:rPr>
        <w:t>290mmgh</w:t>
      </w:r>
      <w:r>
        <w:rPr>
          <w:sz w:val="28"/>
          <w:szCs w:val="28"/>
        </w:rPr>
        <w:t>时，袖带可以自动释压。</w:t>
      </w:r>
    </w:p>
    <w:p>
      <w:pPr>
        <w:pStyle w:val="15"/>
        <w:spacing w:line="360" w:lineRule="auto"/>
        <w:ind w:firstLine="560" w:firstLineChars="200"/>
        <w:contextualSpacing/>
        <w:jc w:val="both"/>
        <w:rPr>
          <w:sz w:val="28"/>
          <w:szCs w:val="28"/>
        </w:rPr>
      </w:pPr>
      <w:r>
        <w:rPr>
          <w:rFonts w:ascii="Calibri" w:hAnsi="Calibri" w:eastAsia="Calibri" w:cs="Calibri"/>
          <w:sz w:val="28"/>
          <w:szCs w:val="28"/>
        </w:rPr>
        <w:t>7</w:t>
      </w:r>
      <w:r>
        <w:rPr>
          <w:sz w:val="28"/>
          <w:szCs w:val="28"/>
        </w:rPr>
        <w:t>、有掉电数据保护功能，电池突然断电数据不会丢失。</w:t>
      </w:r>
    </w:p>
    <w:p>
      <w:pPr>
        <w:pStyle w:val="15"/>
        <w:spacing w:line="360" w:lineRule="auto"/>
        <w:ind w:firstLine="560" w:firstLineChars="200"/>
        <w:contextualSpacing/>
        <w:jc w:val="both"/>
        <w:rPr>
          <w:sz w:val="28"/>
          <w:szCs w:val="28"/>
        </w:rPr>
      </w:pPr>
      <w:r>
        <w:rPr>
          <w:rFonts w:ascii="Calibri" w:hAnsi="Calibri" w:eastAsia="Calibri" w:cs="Calibri"/>
          <w:sz w:val="28"/>
          <w:szCs w:val="28"/>
        </w:rPr>
        <w:t>8</w:t>
      </w:r>
      <w:r>
        <w:rPr>
          <w:sz w:val="28"/>
          <w:szCs w:val="28"/>
        </w:rPr>
        <w:t>、</w:t>
      </w:r>
      <w:r>
        <w:rPr>
          <w:rFonts w:hint="eastAsia"/>
          <w:sz w:val="28"/>
          <w:szCs w:val="28"/>
        </w:rPr>
        <w:t>★</w:t>
      </w:r>
      <w:r>
        <w:rPr>
          <w:sz w:val="28"/>
          <w:szCs w:val="28"/>
        </w:rPr>
        <w:t>血压测量误差</w:t>
      </w:r>
      <w:r>
        <w:rPr>
          <w:rFonts w:ascii="Calibri" w:hAnsi="Calibri" w:eastAsia="Calibri" w:cs="Calibri"/>
          <w:sz w:val="28"/>
          <w:szCs w:val="28"/>
          <w:lang w:val="en-US" w:bidi="en-US"/>
        </w:rPr>
        <w:t>（</w:t>
      </w:r>
      <w:r>
        <w:rPr>
          <w:rFonts w:hint="eastAsia"/>
          <w:sz w:val="28"/>
          <w:szCs w:val="28"/>
        </w:rPr>
        <w:t>≤±</w:t>
      </w:r>
      <w:r>
        <w:rPr>
          <w:rFonts w:hint="eastAsia" w:ascii="Calibri" w:hAnsi="Calibri" w:cs="Calibri"/>
          <w:sz w:val="28"/>
          <w:szCs w:val="28"/>
          <w:lang w:val="en-US" w:bidi="en-US"/>
        </w:rPr>
        <w:t>3</w:t>
      </w:r>
      <w:r>
        <w:rPr>
          <w:rFonts w:ascii="Calibri" w:hAnsi="Calibri" w:eastAsia="Calibri" w:cs="Calibri"/>
          <w:sz w:val="28"/>
          <w:szCs w:val="28"/>
          <w:lang w:val="en-US" w:bidi="en-US"/>
        </w:rPr>
        <w:t>mmgh</w:t>
      </w:r>
      <w:r>
        <w:rPr>
          <w:rFonts w:hint="eastAsia" w:ascii="Calibri" w:hAnsi="Calibri" w:cs="Calibri"/>
          <w:sz w:val="28"/>
          <w:szCs w:val="28"/>
          <w:lang w:val="en-US" w:bidi="en-US"/>
        </w:rPr>
        <w:t>）</w:t>
      </w:r>
      <w:r>
        <w:rPr>
          <w:sz w:val="28"/>
          <w:szCs w:val="28"/>
          <w:lang w:val="en-US" w:bidi="en-US"/>
        </w:rPr>
        <w:t>。</w:t>
      </w:r>
    </w:p>
    <w:p>
      <w:pPr>
        <w:pStyle w:val="15"/>
        <w:spacing w:line="360" w:lineRule="auto"/>
        <w:ind w:firstLine="560" w:firstLineChars="200"/>
        <w:contextualSpacing/>
        <w:jc w:val="both"/>
        <w:rPr>
          <w:sz w:val="28"/>
          <w:szCs w:val="28"/>
        </w:rPr>
      </w:pPr>
      <w:r>
        <w:rPr>
          <w:rFonts w:ascii="Calibri" w:hAnsi="Calibri" w:eastAsia="Calibri" w:cs="Calibri"/>
          <w:sz w:val="28"/>
          <w:szCs w:val="28"/>
        </w:rPr>
        <w:t>9</w:t>
      </w:r>
      <w:r>
        <w:rPr>
          <w:sz w:val="28"/>
          <w:szCs w:val="28"/>
        </w:rPr>
        <w:t>、有自动重测功能，对于误差干扰未测出数据和错误数据可以自动重新测量。</w:t>
      </w:r>
    </w:p>
    <w:p>
      <w:pPr>
        <w:pStyle w:val="15"/>
        <w:spacing w:line="360" w:lineRule="auto"/>
        <w:ind w:firstLine="562" w:firstLineChars="200"/>
        <w:contextualSpacing/>
        <w:jc w:val="both"/>
        <w:rPr>
          <w:b/>
          <w:sz w:val="28"/>
          <w:szCs w:val="28"/>
        </w:rPr>
      </w:pPr>
      <w:r>
        <w:rPr>
          <w:rFonts w:hint="eastAsia"/>
          <w:b/>
          <w:sz w:val="28"/>
          <w:szCs w:val="28"/>
        </w:rPr>
        <w:t>（四）</w:t>
      </w:r>
      <w:r>
        <w:rPr>
          <w:b/>
          <w:sz w:val="28"/>
          <w:szCs w:val="28"/>
        </w:rPr>
        <w:t>动态心电图软件功能要求：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w:t>
      </w:r>
      <w:r>
        <w:rPr>
          <w:rFonts w:hint="eastAsia"/>
          <w:sz w:val="28"/>
          <w:szCs w:val="28"/>
        </w:rPr>
        <w:t>★</w:t>
      </w:r>
      <w:r>
        <w:rPr>
          <w:sz w:val="28"/>
          <w:szCs w:val="28"/>
        </w:rPr>
        <w:t>可记录</w:t>
      </w:r>
      <w:r>
        <w:rPr>
          <w:rFonts w:ascii="Calibri" w:hAnsi="Calibri" w:eastAsia="Calibri" w:cs="Calibri"/>
          <w:sz w:val="28"/>
          <w:szCs w:val="28"/>
        </w:rPr>
        <w:t>24</w:t>
      </w:r>
      <w:r>
        <w:rPr>
          <w:sz w:val="28"/>
          <w:szCs w:val="28"/>
        </w:rPr>
        <w:t>小时以上十二导联同步心电图，并自动识别和归类各种心搏的类型。</w:t>
      </w:r>
    </w:p>
    <w:p>
      <w:pPr>
        <w:pStyle w:val="15"/>
        <w:spacing w:line="360" w:lineRule="auto"/>
        <w:ind w:firstLine="560" w:firstLineChars="200"/>
        <w:contextualSpacing/>
        <w:jc w:val="both"/>
        <w:rPr>
          <w:sz w:val="28"/>
          <w:szCs w:val="28"/>
        </w:rPr>
      </w:pPr>
      <w:r>
        <w:rPr>
          <w:rFonts w:ascii="Calibri" w:hAnsi="Calibri" w:eastAsia="Calibri" w:cs="Calibri"/>
          <w:sz w:val="28"/>
          <w:szCs w:val="28"/>
        </w:rPr>
        <w:t>2</w:t>
      </w:r>
      <w:r>
        <w:rPr>
          <w:sz w:val="28"/>
          <w:szCs w:val="28"/>
        </w:rPr>
        <w:t>、</w:t>
      </w:r>
      <w:r>
        <w:rPr>
          <w:rFonts w:hint="eastAsia"/>
          <w:sz w:val="28"/>
          <w:szCs w:val="28"/>
        </w:rPr>
        <w:t>★</w:t>
      </w:r>
      <w:r>
        <w:rPr>
          <w:sz w:val="28"/>
          <w:szCs w:val="28"/>
        </w:rPr>
        <w:t>快速、准确的识别心房颤动和阵发心房颤动，明确标记阵发房颤的发生时间。</w:t>
      </w:r>
    </w:p>
    <w:p>
      <w:pPr>
        <w:pStyle w:val="15"/>
        <w:spacing w:line="360" w:lineRule="auto"/>
        <w:ind w:firstLine="560" w:firstLineChars="200"/>
        <w:contextualSpacing/>
        <w:jc w:val="both"/>
        <w:rPr>
          <w:sz w:val="28"/>
          <w:szCs w:val="28"/>
        </w:rPr>
      </w:pPr>
      <w:r>
        <w:rPr>
          <w:rFonts w:ascii="Calibri" w:hAnsi="Calibri" w:eastAsia="Calibri" w:cs="Calibri"/>
          <w:sz w:val="28"/>
          <w:szCs w:val="28"/>
        </w:rPr>
        <w:t>3</w:t>
      </w:r>
      <w:r>
        <w:rPr>
          <w:sz w:val="28"/>
          <w:szCs w:val="28"/>
        </w:rPr>
        <w:t>、可自动识别起搏心律并智能分析起搏器类型和起搏模式。</w:t>
      </w:r>
    </w:p>
    <w:p>
      <w:pPr>
        <w:pStyle w:val="15"/>
        <w:spacing w:line="360" w:lineRule="auto"/>
        <w:ind w:firstLine="560" w:firstLineChars="200"/>
        <w:contextualSpacing/>
        <w:jc w:val="both"/>
        <w:rPr>
          <w:sz w:val="28"/>
          <w:szCs w:val="28"/>
        </w:rPr>
      </w:pPr>
      <w:r>
        <w:rPr>
          <w:rFonts w:ascii="Calibri" w:hAnsi="Calibri" w:eastAsia="Calibri" w:cs="Calibri"/>
          <w:sz w:val="28"/>
          <w:szCs w:val="28"/>
        </w:rPr>
        <w:t>4</w:t>
      </w:r>
      <w:r>
        <w:rPr>
          <w:sz w:val="28"/>
          <w:szCs w:val="28"/>
        </w:rPr>
        <w:t>、可自动分析归类心律失常，可准确识别干扰和心搏并放入相应模板，便于快速分析诊断。</w:t>
      </w:r>
    </w:p>
    <w:p>
      <w:pPr>
        <w:pStyle w:val="15"/>
        <w:spacing w:line="360" w:lineRule="auto"/>
        <w:ind w:firstLine="560" w:firstLineChars="200"/>
        <w:contextualSpacing/>
        <w:jc w:val="both"/>
        <w:rPr>
          <w:sz w:val="28"/>
          <w:szCs w:val="28"/>
        </w:rPr>
      </w:pPr>
      <w:r>
        <w:rPr>
          <w:rFonts w:ascii="Calibri" w:hAnsi="Calibri" w:eastAsia="Calibri" w:cs="Calibri"/>
          <w:sz w:val="28"/>
          <w:szCs w:val="28"/>
        </w:rPr>
        <w:t>5</w:t>
      </w:r>
      <w:r>
        <w:rPr>
          <w:sz w:val="28"/>
          <w:szCs w:val="28"/>
        </w:rPr>
        <w:t>、具有动态心电图的扩展分析功能：心率变异性分析、</w:t>
      </w:r>
      <w:r>
        <w:rPr>
          <w:rFonts w:ascii="Calibri" w:hAnsi="Calibri" w:eastAsia="Calibri" w:cs="Calibri"/>
          <w:sz w:val="28"/>
          <w:szCs w:val="28"/>
          <w:lang w:val="en-US" w:bidi="en-US"/>
        </w:rPr>
        <w:t>ST</w:t>
      </w:r>
      <w:r>
        <w:rPr>
          <w:sz w:val="28"/>
          <w:szCs w:val="28"/>
        </w:rPr>
        <w:t>段分析、心率震荡分析、</w:t>
      </w:r>
      <w:r>
        <w:rPr>
          <w:rFonts w:ascii="Calibri" w:hAnsi="Calibri" w:eastAsia="Calibri" w:cs="Calibri"/>
          <w:sz w:val="28"/>
          <w:szCs w:val="28"/>
          <w:lang w:val="en-US" w:bidi="en-US"/>
        </w:rPr>
        <w:t>Q-T</w:t>
      </w:r>
      <w:r>
        <w:rPr>
          <w:sz w:val="28"/>
          <w:szCs w:val="28"/>
        </w:rPr>
        <w:t>间 期分析、</w:t>
      </w:r>
      <w:r>
        <w:rPr>
          <w:rFonts w:ascii="Calibri" w:hAnsi="Calibri" w:eastAsia="Calibri" w:cs="Calibri"/>
          <w:sz w:val="28"/>
          <w:szCs w:val="28"/>
          <w:lang w:val="en-US" w:bidi="en-US"/>
        </w:rPr>
        <w:t>T</w:t>
      </w:r>
      <w:r>
        <w:rPr>
          <w:sz w:val="28"/>
          <w:szCs w:val="28"/>
        </w:rPr>
        <w:t>波趋势分析、睡眠呼吸分析等功能。</w:t>
      </w:r>
    </w:p>
    <w:p>
      <w:pPr>
        <w:pStyle w:val="15"/>
        <w:spacing w:line="360" w:lineRule="auto"/>
        <w:ind w:firstLine="560" w:firstLineChars="200"/>
        <w:contextualSpacing/>
        <w:jc w:val="both"/>
        <w:rPr>
          <w:sz w:val="28"/>
          <w:szCs w:val="28"/>
        </w:rPr>
      </w:pPr>
      <w:r>
        <w:rPr>
          <w:rFonts w:ascii="Calibri" w:hAnsi="Calibri" w:eastAsia="Calibri" w:cs="Calibri"/>
          <w:sz w:val="28"/>
          <w:szCs w:val="28"/>
        </w:rPr>
        <w:t>6</w:t>
      </w:r>
      <w:r>
        <w:rPr>
          <w:sz w:val="28"/>
          <w:szCs w:val="28"/>
        </w:rPr>
        <w:t>、提供趋势图、散点图和直方图等快速分析方式。</w:t>
      </w:r>
    </w:p>
    <w:p>
      <w:pPr>
        <w:pStyle w:val="15"/>
        <w:spacing w:line="360" w:lineRule="auto"/>
        <w:ind w:firstLine="560" w:firstLineChars="200"/>
        <w:contextualSpacing/>
        <w:jc w:val="both"/>
        <w:rPr>
          <w:sz w:val="28"/>
          <w:szCs w:val="28"/>
        </w:rPr>
      </w:pPr>
      <w:r>
        <w:rPr>
          <w:rFonts w:ascii="Calibri" w:hAnsi="Calibri" w:eastAsia="Calibri" w:cs="Calibri"/>
          <w:sz w:val="28"/>
          <w:szCs w:val="28"/>
        </w:rPr>
        <w:t>7</w:t>
      </w:r>
      <w:r>
        <w:rPr>
          <w:sz w:val="28"/>
          <w:szCs w:val="28"/>
        </w:rPr>
        <w:t>、分析模板涵盖所有心电内容，重点内容在报告首页突出显示。</w:t>
      </w:r>
    </w:p>
    <w:p>
      <w:pPr>
        <w:pStyle w:val="15"/>
        <w:spacing w:line="360" w:lineRule="auto"/>
        <w:ind w:firstLine="562" w:firstLineChars="200"/>
        <w:contextualSpacing/>
        <w:jc w:val="both"/>
        <w:rPr>
          <w:b/>
          <w:sz w:val="28"/>
          <w:szCs w:val="28"/>
        </w:rPr>
      </w:pPr>
      <w:r>
        <w:rPr>
          <w:rFonts w:hint="eastAsia"/>
          <w:b/>
          <w:sz w:val="28"/>
          <w:szCs w:val="28"/>
        </w:rPr>
        <w:t>（五）</w:t>
      </w:r>
      <w:r>
        <w:rPr>
          <w:b/>
          <w:sz w:val="28"/>
          <w:szCs w:val="28"/>
        </w:rPr>
        <w:t>设备配置要求：</w:t>
      </w:r>
    </w:p>
    <w:p>
      <w:pPr>
        <w:pStyle w:val="15"/>
        <w:spacing w:line="360" w:lineRule="auto"/>
        <w:ind w:firstLine="560" w:firstLineChars="200"/>
        <w:contextualSpacing/>
        <w:jc w:val="both"/>
        <w:rPr>
          <w:sz w:val="28"/>
          <w:szCs w:val="28"/>
        </w:rPr>
      </w:pPr>
      <w:r>
        <w:rPr>
          <w:rFonts w:ascii="Calibri" w:hAnsi="Calibri" w:eastAsia="Calibri" w:cs="Calibri"/>
          <w:sz w:val="28"/>
          <w:szCs w:val="28"/>
        </w:rPr>
        <w:t>1</w:t>
      </w:r>
      <w:r>
        <w:rPr>
          <w:sz w:val="28"/>
          <w:szCs w:val="28"/>
        </w:rPr>
        <w:t>、每台检测仪配备袖带</w:t>
      </w:r>
      <w:r>
        <w:rPr>
          <w:rFonts w:ascii="Calibri" w:hAnsi="Calibri" w:eastAsia="Calibri" w:cs="Calibri"/>
          <w:sz w:val="28"/>
          <w:szCs w:val="28"/>
        </w:rPr>
        <w:t>2</w:t>
      </w:r>
      <w:r>
        <w:rPr>
          <w:sz w:val="28"/>
          <w:szCs w:val="28"/>
        </w:rPr>
        <w:t>套，导联线</w:t>
      </w:r>
      <w:r>
        <w:rPr>
          <w:rFonts w:ascii="Calibri" w:hAnsi="Calibri" w:eastAsia="Calibri" w:cs="Calibri"/>
          <w:sz w:val="28"/>
          <w:szCs w:val="28"/>
        </w:rPr>
        <w:t>2</w:t>
      </w:r>
      <w:r>
        <w:rPr>
          <w:sz w:val="28"/>
          <w:szCs w:val="28"/>
        </w:rPr>
        <w:t>套。</w:t>
      </w:r>
    </w:p>
    <w:p>
      <w:pPr>
        <w:pStyle w:val="15"/>
        <w:spacing w:line="360" w:lineRule="auto"/>
        <w:ind w:firstLine="560" w:firstLineChars="200"/>
        <w:contextualSpacing/>
        <w:jc w:val="both"/>
        <w:rPr>
          <w:sz w:val="28"/>
          <w:szCs w:val="28"/>
        </w:rPr>
      </w:pPr>
      <w:r>
        <w:rPr>
          <w:rFonts w:ascii="Calibri" w:hAnsi="Calibri" w:eastAsia="Calibri" w:cs="Calibri"/>
          <w:sz w:val="28"/>
          <w:szCs w:val="28"/>
        </w:rPr>
        <w:t>2</w:t>
      </w:r>
      <w:r>
        <w:rPr>
          <w:sz w:val="28"/>
          <w:szCs w:val="28"/>
        </w:rPr>
        <w:t>、另外</w:t>
      </w:r>
      <w:r>
        <w:rPr>
          <w:rFonts w:hint="eastAsia"/>
          <w:sz w:val="28"/>
          <w:szCs w:val="28"/>
        </w:rPr>
        <w:t>配备</w:t>
      </w:r>
      <w:r>
        <w:rPr>
          <w:sz w:val="28"/>
          <w:szCs w:val="28"/>
        </w:rPr>
        <w:t>加宽袖带</w:t>
      </w:r>
      <w:r>
        <w:rPr>
          <w:rFonts w:ascii="Calibri" w:hAnsi="Calibri" w:eastAsia="Calibri" w:cs="Calibri"/>
          <w:sz w:val="28"/>
          <w:szCs w:val="28"/>
        </w:rPr>
        <w:t>2</w:t>
      </w:r>
      <w:r>
        <w:rPr>
          <w:sz w:val="28"/>
          <w:szCs w:val="28"/>
        </w:rPr>
        <w:t>条。</w:t>
      </w:r>
    </w:p>
    <w:p>
      <w:pPr>
        <w:spacing w:line="360" w:lineRule="auto"/>
        <w:ind w:firstLine="600" w:firstLineChars="200"/>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r>
        <w:rPr>
          <w:rFonts w:hint="eastAsia" w:ascii="方正小标宋简体" w:eastAsia="方正小标宋简体"/>
          <w:sz w:val="30"/>
          <w:szCs w:val="30"/>
        </w:rPr>
        <w:t>三、商务及其他要求</w:t>
      </w:r>
    </w:p>
    <w:p>
      <w:pPr>
        <w:pStyle w:val="16"/>
        <w:spacing w:line="360" w:lineRule="auto"/>
        <w:ind w:firstLine="560" w:firstLineChars="200"/>
        <w:contextualSpacing/>
        <w:jc w:val="both"/>
        <w:rPr>
          <w:sz w:val="28"/>
          <w:szCs w:val="28"/>
        </w:rPr>
      </w:pPr>
      <w:r>
        <w:rPr>
          <w:rFonts w:hint="eastAsia"/>
          <w:sz w:val="28"/>
          <w:szCs w:val="28"/>
        </w:rPr>
        <w:t xml:space="preserve">（一）交货期及地点： </w:t>
      </w:r>
    </w:p>
    <w:p>
      <w:pPr>
        <w:pStyle w:val="16"/>
        <w:spacing w:line="360" w:lineRule="auto"/>
        <w:ind w:firstLine="560" w:firstLineChars="200"/>
        <w:contextualSpacing/>
        <w:jc w:val="both"/>
        <w:rPr>
          <w:sz w:val="28"/>
          <w:szCs w:val="28"/>
        </w:rPr>
      </w:pPr>
      <w:r>
        <w:rPr>
          <w:rFonts w:hint="eastAsia"/>
          <w:sz w:val="28"/>
          <w:szCs w:val="28"/>
        </w:rPr>
        <w:t>1、交货期：合同签订后5个工作日内。</w:t>
      </w:r>
    </w:p>
    <w:p>
      <w:pPr>
        <w:pStyle w:val="16"/>
        <w:spacing w:line="360" w:lineRule="auto"/>
        <w:ind w:firstLine="560" w:firstLineChars="200"/>
        <w:contextualSpacing/>
        <w:jc w:val="both"/>
        <w:rPr>
          <w:sz w:val="28"/>
          <w:szCs w:val="28"/>
        </w:rPr>
      </w:pPr>
      <w:r>
        <w:rPr>
          <w:rFonts w:hint="eastAsia"/>
          <w:sz w:val="28"/>
          <w:szCs w:val="28"/>
        </w:rPr>
        <w:t>2、交货地点：都江堰市太平街445号。</w:t>
      </w:r>
    </w:p>
    <w:p>
      <w:pPr>
        <w:pStyle w:val="16"/>
        <w:spacing w:line="360" w:lineRule="auto"/>
        <w:ind w:firstLine="560" w:firstLineChars="200"/>
        <w:contextualSpacing/>
        <w:jc w:val="both"/>
        <w:rPr>
          <w:sz w:val="28"/>
          <w:szCs w:val="28"/>
        </w:rPr>
      </w:pPr>
      <w:r>
        <w:rPr>
          <w:rFonts w:hint="eastAsia"/>
          <w:sz w:val="28"/>
          <w:szCs w:val="28"/>
        </w:rPr>
        <w:t>（二）报价要求：报价不得高于本采购项目最高限价。</w:t>
      </w:r>
    </w:p>
    <w:p>
      <w:pPr>
        <w:pStyle w:val="16"/>
        <w:spacing w:line="360" w:lineRule="auto"/>
        <w:ind w:firstLine="560" w:firstLineChars="200"/>
        <w:contextualSpacing/>
        <w:jc w:val="both"/>
        <w:rPr>
          <w:sz w:val="28"/>
          <w:szCs w:val="28"/>
        </w:rPr>
      </w:pPr>
      <w:r>
        <w:rPr>
          <w:rFonts w:hint="eastAsia"/>
          <w:sz w:val="28"/>
          <w:szCs w:val="28"/>
        </w:rPr>
        <w:t>（三）付款方法和条件：</w:t>
      </w:r>
    </w:p>
    <w:p>
      <w:pPr>
        <w:pStyle w:val="16"/>
        <w:spacing w:line="360" w:lineRule="auto"/>
        <w:ind w:firstLine="560" w:firstLineChars="200"/>
        <w:contextualSpacing/>
        <w:jc w:val="both"/>
        <w:rPr>
          <w:sz w:val="28"/>
          <w:szCs w:val="28"/>
        </w:rPr>
      </w:pPr>
      <w:r>
        <w:rPr>
          <w:rFonts w:hint="eastAsia"/>
          <w:sz w:val="28"/>
          <w:szCs w:val="28"/>
        </w:rPr>
        <w:t>验收合格后支付95%货款，质保期满后支付5%货款。</w:t>
      </w:r>
    </w:p>
    <w:p>
      <w:pPr>
        <w:pStyle w:val="16"/>
        <w:spacing w:line="360" w:lineRule="auto"/>
        <w:ind w:firstLine="560" w:firstLineChars="200"/>
        <w:contextualSpacing/>
        <w:jc w:val="both"/>
        <w:rPr>
          <w:sz w:val="28"/>
          <w:szCs w:val="28"/>
        </w:rPr>
      </w:pPr>
      <w:r>
        <w:rPr>
          <w:rFonts w:hint="eastAsia"/>
          <w:sz w:val="28"/>
          <w:szCs w:val="28"/>
        </w:rPr>
        <w:t>质保期：≥3年</w:t>
      </w:r>
    </w:p>
    <w:p>
      <w:pPr>
        <w:pStyle w:val="16"/>
        <w:spacing w:line="360" w:lineRule="auto"/>
        <w:ind w:firstLine="560" w:firstLineChars="200"/>
        <w:contextualSpacing/>
        <w:jc w:val="both"/>
        <w:rPr>
          <w:sz w:val="28"/>
          <w:szCs w:val="28"/>
        </w:rPr>
      </w:pPr>
    </w:p>
    <w:p>
      <w:pPr>
        <w:pStyle w:val="16"/>
        <w:spacing w:line="360" w:lineRule="auto"/>
        <w:ind w:firstLine="560" w:firstLineChars="200"/>
        <w:contextualSpacing/>
        <w:jc w:val="both"/>
        <w:rPr>
          <w:sz w:val="28"/>
          <w:szCs w:val="28"/>
        </w:rPr>
      </w:pPr>
    </w:p>
    <w:p>
      <w:pPr>
        <w:pStyle w:val="16"/>
        <w:spacing w:line="360" w:lineRule="auto"/>
        <w:ind w:firstLine="560" w:firstLineChars="200"/>
        <w:contextualSpacing/>
        <w:jc w:val="both"/>
        <w:rPr>
          <w:sz w:val="28"/>
          <w:szCs w:val="28"/>
        </w:rPr>
      </w:pPr>
    </w:p>
    <w:p>
      <w:pPr>
        <w:pStyle w:val="16"/>
        <w:spacing w:line="360" w:lineRule="auto"/>
        <w:ind w:firstLine="560" w:firstLineChars="200"/>
        <w:contextualSpacing/>
        <w:jc w:val="both"/>
        <w:rPr>
          <w:sz w:val="28"/>
          <w:szCs w:val="28"/>
        </w:rPr>
      </w:pPr>
    </w:p>
    <w:p>
      <w:pPr>
        <w:pStyle w:val="16"/>
        <w:spacing w:line="360" w:lineRule="auto"/>
        <w:ind w:firstLine="560" w:firstLineChars="200"/>
        <w:contextualSpacing/>
        <w:jc w:val="both"/>
        <w:rPr>
          <w:rFonts w:hint="eastAsia" w:eastAsiaTheme="minorEastAsia"/>
          <w:sz w:val="28"/>
          <w:szCs w:val="28"/>
        </w:rPr>
      </w:pPr>
    </w:p>
    <w:p>
      <w:pPr>
        <w:pStyle w:val="16"/>
        <w:spacing w:line="360" w:lineRule="auto"/>
        <w:ind w:firstLine="560" w:firstLineChars="200"/>
        <w:contextualSpacing/>
        <w:jc w:val="both"/>
        <w:rPr>
          <w:rFonts w:hint="eastAsia" w:eastAsiaTheme="minorEastAsia"/>
          <w:sz w:val="28"/>
          <w:szCs w:val="28"/>
        </w:rPr>
      </w:pPr>
    </w:p>
    <w:p>
      <w:pPr>
        <w:pStyle w:val="16"/>
        <w:spacing w:line="360" w:lineRule="auto"/>
        <w:ind w:firstLine="560" w:firstLineChars="200"/>
        <w:contextualSpacing/>
        <w:jc w:val="both"/>
        <w:rPr>
          <w:rFonts w:hint="eastAsia" w:eastAsiaTheme="minorEastAsia"/>
          <w:sz w:val="28"/>
          <w:szCs w:val="28"/>
        </w:rPr>
      </w:pPr>
    </w:p>
    <w:p>
      <w:pPr>
        <w:pStyle w:val="16"/>
        <w:spacing w:line="360" w:lineRule="auto"/>
        <w:ind w:firstLine="560" w:firstLineChars="200"/>
        <w:contextualSpacing/>
        <w:jc w:val="both"/>
        <w:rPr>
          <w:rFonts w:hint="eastAsia" w:eastAsiaTheme="minorEastAsia"/>
          <w:sz w:val="28"/>
          <w:szCs w:val="28"/>
        </w:rPr>
      </w:pPr>
    </w:p>
    <w:p>
      <w:pPr>
        <w:pStyle w:val="16"/>
        <w:spacing w:line="360" w:lineRule="auto"/>
        <w:ind w:firstLine="560" w:firstLineChars="200"/>
        <w:contextualSpacing/>
        <w:jc w:val="both"/>
        <w:rPr>
          <w:rFonts w:hint="eastAsia" w:eastAsiaTheme="minorEastAsia"/>
          <w:sz w:val="28"/>
          <w:szCs w:val="28"/>
        </w:rPr>
      </w:pPr>
    </w:p>
    <w:p>
      <w:pPr>
        <w:pStyle w:val="16"/>
        <w:spacing w:line="360" w:lineRule="auto"/>
        <w:ind w:firstLine="560" w:firstLineChars="200"/>
        <w:contextualSpacing/>
        <w:jc w:val="both"/>
        <w:rPr>
          <w:rFonts w:hint="eastAsia" w:eastAsiaTheme="minorEastAsia"/>
          <w:sz w:val="28"/>
          <w:szCs w:val="28"/>
        </w:rPr>
      </w:pPr>
    </w:p>
    <w:p>
      <w:pPr>
        <w:pStyle w:val="16"/>
        <w:spacing w:line="360" w:lineRule="auto"/>
        <w:ind w:firstLine="560" w:firstLineChars="200"/>
        <w:contextualSpacing/>
        <w:jc w:val="both"/>
        <w:rPr>
          <w:rFonts w:hint="eastAsia" w:eastAsiaTheme="minorEastAsia"/>
          <w:sz w:val="28"/>
          <w:szCs w:val="28"/>
        </w:rPr>
      </w:pPr>
    </w:p>
    <w:p>
      <w:pPr>
        <w:pStyle w:val="3"/>
        <w:spacing w:line="400" w:lineRule="exact"/>
        <w:rPr>
          <w:rFonts w:ascii="黑体"/>
          <w:b w:val="0"/>
          <w:sz w:val="24"/>
          <w:szCs w:val="24"/>
        </w:rPr>
      </w:pPr>
      <w:bookmarkStart w:id="0" w:name="_Toc217446086"/>
      <w:bookmarkStart w:id="1" w:name="_Toc414888443"/>
      <w:r>
        <w:rPr>
          <w:rFonts w:hint="eastAsia" w:ascii="黑体"/>
          <w:b w:val="0"/>
          <w:sz w:val="24"/>
          <w:szCs w:val="24"/>
        </w:rPr>
        <w:t>附件：</w:t>
      </w:r>
    </w:p>
    <w:p>
      <w:pPr>
        <w:pStyle w:val="3"/>
        <w:spacing w:line="400" w:lineRule="exact"/>
        <w:jc w:val="center"/>
        <w:rPr>
          <w:rFonts w:ascii="黑体"/>
          <w:bCs/>
        </w:rPr>
      </w:pPr>
      <w:r>
        <w:rPr>
          <w:rFonts w:hint="eastAsia" w:ascii="黑体"/>
          <w:b w:val="0"/>
        </w:rPr>
        <w:t>一、报价明细表</w:t>
      </w:r>
      <w:bookmarkEnd w:id="0"/>
      <w:bookmarkEnd w:id="1"/>
      <w:r>
        <w:rPr>
          <w:rFonts w:hint="eastAsia" w:ascii="宋体" w:hAnsi="宋体"/>
          <w:b w:val="0"/>
          <w:sz w:val="24"/>
          <w:szCs w:val="24"/>
        </w:rPr>
        <w:t xml:space="preserve"> </w:t>
      </w:r>
      <w:r>
        <w:rPr>
          <w:rFonts w:hint="eastAsia" w:ascii="宋体" w:hAnsi="宋体"/>
          <w:sz w:val="24"/>
          <w:szCs w:val="24"/>
        </w:rPr>
        <w:t xml:space="preserve">                                      </w:t>
      </w: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1155"/>
        <w:gridCol w:w="1260"/>
        <w:gridCol w:w="840"/>
        <w:gridCol w:w="840"/>
        <w:gridCol w:w="1287"/>
        <w:gridCol w:w="126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83" w:type="dxa"/>
            <w:vAlign w:val="center"/>
          </w:tcPr>
          <w:p>
            <w:pPr>
              <w:snapToGrid w:val="0"/>
              <w:spacing w:line="400" w:lineRule="exact"/>
              <w:jc w:val="center"/>
              <w:rPr>
                <w:rFonts w:ascii="宋体" w:hAnsi="宋体"/>
                <w:szCs w:val="21"/>
              </w:rPr>
            </w:pPr>
            <w:r>
              <w:rPr>
                <w:rFonts w:hint="eastAsia" w:ascii="宋体" w:hAnsi="宋体"/>
                <w:szCs w:val="21"/>
              </w:rPr>
              <w:t>序号</w:t>
            </w:r>
          </w:p>
        </w:tc>
        <w:tc>
          <w:tcPr>
            <w:tcW w:w="1470" w:type="dxa"/>
            <w:vAlign w:val="center"/>
          </w:tcPr>
          <w:p>
            <w:pPr>
              <w:snapToGrid w:val="0"/>
              <w:spacing w:line="400" w:lineRule="exact"/>
              <w:jc w:val="center"/>
              <w:rPr>
                <w:rFonts w:ascii="宋体" w:hAnsi="宋体"/>
                <w:szCs w:val="21"/>
              </w:rPr>
            </w:pPr>
            <w:r>
              <w:rPr>
                <w:rFonts w:hint="eastAsia" w:ascii="宋体" w:hAnsi="宋体"/>
                <w:szCs w:val="21"/>
              </w:rPr>
              <w:t>产品名称</w:t>
            </w:r>
          </w:p>
        </w:tc>
        <w:tc>
          <w:tcPr>
            <w:tcW w:w="1155" w:type="dxa"/>
            <w:vAlign w:val="center"/>
          </w:tcPr>
          <w:p>
            <w:pPr>
              <w:snapToGrid w:val="0"/>
              <w:spacing w:line="400" w:lineRule="exact"/>
              <w:jc w:val="center"/>
              <w:rPr>
                <w:rFonts w:ascii="宋体" w:hAnsi="宋体"/>
                <w:szCs w:val="21"/>
              </w:rPr>
            </w:pPr>
            <w:r>
              <w:rPr>
                <w:rFonts w:hint="eastAsia" w:ascii="宋体" w:hAnsi="宋体"/>
                <w:szCs w:val="21"/>
              </w:rPr>
              <w:t>规格型号</w:t>
            </w:r>
          </w:p>
        </w:tc>
        <w:tc>
          <w:tcPr>
            <w:tcW w:w="1260" w:type="dxa"/>
            <w:vAlign w:val="center"/>
          </w:tcPr>
          <w:p>
            <w:pPr>
              <w:snapToGrid w:val="0"/>
              <w:spacing w:line="400" w:lineRule="exact"/>
              <w:jc w:val="center"/>
              <w:rPr>
                <w:rFonts w:ascii="宋体" w:hAnsi="宋体"/>
                <w:szCs w:val="21"/>
              </w:rPr>
            </w:pPr>
            <w:r>
              <w:rPr>
                <w:rFonts w:hint="eastAsia" w:ascii="宋体" w:hAnsi="宋体"/>
                <w:szCs w:val="21"/>
              </w:rPr>
              <w:t>生产厂家</w:t>
            </w:r>
          </w:p>
        </w:tc>
        <w:tc>
          <w:tcPr>
            <w:tcW w:w="840" w:type="dxa"/>
            <w:vAlign w:val="center"/>
          </w:tcPr>
          <w:p>
            <w:pPr>
              <w:snapToGrid w:val="0"/>
              <w:spacing w:line="400" w:lineRule="exact"/>
              <w:jc w:val="center"/>
              <w:rPr>
                <w:rFonts w:ascii="宋体" w:hAnsi="宋体"/>
                <w:szCs w:val="21"/>
              </w:rPr>
            </w:pPr>
            <w:r>
              <w:rPr>
                <w:rFonts w:hint="eastAsia" w:ascii="宋体" w:hAnsi="宋体"/>
                <w:szCs w:val="21"/>
              </w:rPr>
              <w:t>单位</w:t>
            </w:r>
          </w:p>
        </w:tc>
        <w:tc>
          <w:tcPr>
            <w:tcW w:w="840" w:type="dxa"/>
            <w:vAlign w:val="center"/>
          </w:tcPr>
          <w:p>
            <w:pPr>
              <w:snapToGrid w:val="0"/>
              <w:spacing w:line="400" w:lineRule="exact"/>
              <w:jc w:val="center"/>
              <w:rPr>
                <w:rFonts w:ascii="宋体" w:hAnsi="宋体"/>
                <w:szCs w:val="21"/>
              </w:rPr>
            </w:pPr>
            <w:r>
              <w:rPr>
                <w:rFonts w:hint="eastAsia" w:ascii="宋体" w:hAnsi="宋体"/>
                <w:szCs w:val="21"/>
              </w:rPr>
              <w:t>数量</w:t>
            </w:r>
          </w:p>
        </w:tc>
        <w:tc>
          <w:tcPr>
            <w:tcW w:w="1287" w:type="dxa"/>
            <w:vAlign w:val="center"/>
          </w:tcPr>
          <w:p>
            <w:pPr>
              <w:snapToGrid w:val="0"/>
              <w:spacing w:line="400" w:lineRule="exact"/>
              <w:jc w:val="center"/>
              <w:rPr>
                <w:rFonts w:ascii="宋体" w:hAnsi="宋体"/>
                <w:szCs w:val="21"/>
              </w:rPr>
            </w:pPr>
            <w:r>
              <w:rPr>
                <w:rFonts w:hint="eastAsia" w:ascii="宋体" w:hAnsi="宋体"/>
                <w:szCs w:val="21"/>
              </w:rPr>
              <w:t>单价</w:t>
            </w:r>
          </w:p>
        </w:tc>
        <w:tc>
          <w:tcPr>
            <w:tcW w:w="1269" w:type="dxa"/>
            <w:vAlign w:val="center"/>
          </w:tcPr>
          <w:p>
            <w:pPr>
              <w:snapToGrid w:val="0"/>
              <w:spacing w:line="400" w:lineRule="exact"/>
              <w:jc w:val="center"/>
              <w:rPr>
                <w:rFonts w:ascii="宋体" w:hAnsi="宋体"/>
                <w:szCs w:val="21"/>
              </w:rPr>
            </w:pPr>
            <w:r>
              <w:rPr>
                <w:rFonts w:hint="eastAsia" w:ascii="宋体" w:hAnsi="宋体"/>
                <w:szCs w:val="21"/>
              </w:rPr>
              <w:t>金额</w:t>
            </w:r>
          </w:p>
        </w:tc>
        <w:tc>
          <w:tcPr>
            <w:tcW w:w="877" w:type="dxa"/>
            <w:vAlign w:val="center"/>
          </w:tcPr>
          <w:p>
            <w:pPr>
              <w:snapToGrid w:val="0"/>
              <w:spacing w:line="400" w:lineRule="exact"/>
              <w:ind w:firstLine="105" w:firstLineChars="5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1470" w:type="dxa"/>
            <w:vAlign w:val="center"/>
          </w:tcPr>
          <w:p>
            <w:pPr>
              <w:snapToGrid w:val="0"/>
              <w:spacing w:line="400" w:lineRule="exact"/>
              <w:jc w:val="center"/>
              <w:rPr>
                <w:rFonts w:ascii="宋体" w:hAnsi="宋体"/>
                <w:sz w:val="24"/>
              </w:rPr>
            </w:pPr>
          </w:p>
        </w:tc>
        <w:tc>
          <w:tcPr>
            <w:tcW w:w="1155" w:type="dxa"/>
            <w:vAlign w:val="center"/>
          </w:tcPr>
          <w:p>
            <w:pPr>
              <w:snapToGrid w:val="0"/>
              <w:spacing w:line="400" w:lineRule="exact"/>
              <w:jc w:val="center"/>
              <w:rPr>
                <w:rFonts w:ascii="宋体" w:hAnsi="宋体"/>
                <w:sz w:val="24"/>
              </w:rPr>
            </w:pPr>
          </w:p>
        </w:tc>
        <w:tc>
          <w:tcPr>
            <w:tcW w:w="126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1287" w:type="dxa"/>
            <w:vAlign w:val="center"/>
          </w:tcPr>
          <w:p>
            <w:pPr>
              <w:snapToGrid w:val="0"/>
              <w:spacing w:line="400" w:lineRule="exact"/>
              <w:jc w:val="center"/>
              <w:rPr>
                <w:rFonts w:ascii="宋体" w:hAnsi="宋体"/>
                <w:sz w:val="24"/>
              </w:rPr>
            </w:pPr>
          </w:p>
        </w:tc>
        <w:tc>
          <w:tcPr>
            <w:tcW w:w="1269" w:type="dxa"/>
            <w:vAlign w:val="center"/>
          </w:tcPr>
          <w:p>
            <w:pPr>
              <w:snapToGrid w:val="0"/>
              <w:spacing w:line="400" w:lineRule="exact"/>
              <w:jc w:val="center"/>
              <w:rPr>
                <w:rFonts w:ascii="宋体" w:hAnsi="宋体"/>
                <w:sz w:val="24"/>
              </w:rPr>
            </w:pPr>
          </w:p>
        </w:tc>
        <w:tc>
          <w:tcPr>
            <w:tcW w:w="877"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1470" w:type="dxa"/>
            <w:vAlign w:val="center"/>
          </w:tcPr>
          <w:p>
            <w:pPr>
              <w:snapToGrid w:val="0"/>
              <w:spacing w:line="400" w:lineRule="exact"/>
              <w:jc w:val="center"/>
              <w:rPr>
                <w:rFonts w:ascii="宋体" w:hAnsi="宋体"/>
                <w:sz w:val="24"/>
              </w:rPr>
            </w:pPr>
          </w:p>
        </w:tc>
        <w:tc>
          <w:tcPr>
            <w:tcW w:w="1155" w:type="dxa"/>
            <w:vAlign w:val="center"/>
          </w:tcPr>
          <w:p>
            <w:pPr>
              <w:snapToGrid w:val="0"/>
              <w:spacing w:line="400" w:lineRule="exact"/>
              <w:jc w:val="center"/>
              <w:rPr>
                <w:rFonts w:ascii="宋体" w:hAnsi="宋体"/>
                <w:sz w:val="24"/>
              </w:rPr>
            </w:pPr>
          </w:p>
        </w:tc>
        <w:tc>
          <w:tcPr>
            <w:tcW w:w="126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840" w:type="dxa"/>
            <w:vAlign w:val="center"/>
          </w:tcPr>
          <w:p>
            <w:pPr>
              <w:snapToGrid w:val="0"/>
              <w:spacing w:line="400" w:lineRule="exact"/>
              <w:jc w:val="center"/>
              <w:rPr>
                <w:rFonts w:ascii="宋体" w:hAnsi="宋体"/>
                <w:sz w:val="24"/>
              </w:rPr>
            </w:pPr>
          </w:p>
        </w:tc>
        <w:tc>
          <w:tcPr>
            <w:tcW w:w="1287" w:type="dxa"/>
            <w:vAlign w:val="center"/>
          </w:tcPr>
          <w:p>
            <w:pPr>
              <w:snapToGrid w:val="0"/>
              <w:spacing w:line="400" w:lineRule="exact"/>
              <w:jc w:val="center"/>
              <w:rPr>
                <w:rFonts w:ascii="宋体" w:hAnsi="宋体"/>
                <w:sz w:val="24"/>
              </w:rPr>
            </w:pPr>
          </w:p>
        </w:tc>
        <w:tc>
          <w:tcPr>
            <w:tcW w:w="1269" w:type="dxa"/>
            <w:vAlign w:val="center"/>
          </w:tcPr>
          <w:p>
            <w:pPr>
              <w:snapToGrid w:val="0"/>
              <w:spacing w:line="400" w:lineRule="exact"/>
              <w:jc w:val="center"/>
              <w:rPr>
                <w:rFonts w:ascii="宋体" w:hAnsi="宋体"/>
                <w:sz w:val="24"/>
              </w:rPr>
            </w:pPr>
          </w:p>
        </w:tc>
        <w:tc>
          <w:tcPr>
            <w:tcW w:w="877" w:type="dxa"/>
            <w:vAlign w:val="center"/>
          </w:tcPr>
          <w:p>
            <w:pPr>
              <w:snapToGrid w:val="0"/>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3" w:type="dxa"/>
            <w:vAlign w:val="center"/>
          </w:tcPr>
          <w:p>
            <w:pPr>
              <w:snapToGrid w:val="0"/>
              <w:spacing w:line="400" w:lineRule="exact"/>
              <w:jc w:val="center"/>
              <w:rPr>
                <w:rFonts w:ascii="宋体" w:hAnsi="宋体"/>
                <w:sz w:val="24"/>
              </w:rPr>
            </w:pPr>
          </w:p>
        </w:tc>
        <w:tc>
          <w:tcPr>
            <w:tcW w:w="8998" w:type="dxa"/>
            <w:gridSpan w:val="8"/>
            <w:vAlign w:val="center"/>
          </w:tcPr>
          <w:p>
            <w:pPr>
              <w:snapToGrid w:val="0"/>
              <w:spacing w:line="400" w:lineRule="exact"/>
              <w:jc w:val="left"/>
              <w:rPr>
                <w:rFonts w:ascii="宋体" w:hAnsi="宋体"/>
                <w:sz w:val="24"/>
              </w:rPr>
            </w:pPr>
            <w:r>
              <w:rPr>
                <w:rFonts w:hint="eastAsia" w:ascii="宋体" w:hAnsi="宋体"/>
                <w:sz w:val="24"/>
              </w:rPr>
              <w:t>报价合计（万元）：</w:t>
            </w:r>
          </w:p>
        </w:tc>
      </w:tr>
    </w:tbl>
    <w:p>
      <w:pPr>
        <w:spacing w:line="400" w:lineRule="exact"/>
        <w:rPr>
          <w:sz w:val="24"/>
          <w:szCs w:val="24"/>
        </w:rPr>
      </w:pPr>
      <w:r>
        <w:rPr>
          <w:rFonts w:hint="eastAsia"/>
          <w:sz w:val="24"/>
          <w:szCs w:val="24"/>
        </w:rPr>
        <w:t>注：比选人必须按“</w:t>
      </w:r>
      <w:r>
        <w:rPr>
          <w:rFonts w:hint="eastAsia"/>
          <w:bCs/>
          <w:sz w:val="24"/>
          <w:szCs w:val="24"/>
        </w:rPr>
        <w:t>报价明细表”的格式</w:t>
      </w:r>
      <w:r>
        <w:rPr>
          <w:rFonts w:hint="eastAsia"/>
          <w:sz w:val="24"/>
          <w:szCs w:val="24"/>
        </w:rPr>
        <w:t>详细列出各个组成部分的报价，否则作无效处理。</w:t>
      </w:r>
    </w:p>
    <w:p>
      <w:pPr>
        <w:spacing w:line="400" w:lineRule="exact"/>
        <w:jc w:val="left"/>
        <w:rPr>
          <w:rFonts w:ascii="宋体" w:hAnsi="宋体"/>
          <w:sz w:val="28"/>
        </w:rPr>
      </w:pPr>
      <w:r>
        <w:rPr>
          <w:rFonts w:hint="eastAsia" w:ascii="宋体" w:hAnsi="宋体"/>
          <w:b/>
          <w:bCs/>
          <w:sz w:val="24"/>
          <w:szCs w:val="24"/>
        </w:rPr>
        <w:t xml:space="preserve">   </w:t>
      </w:r>
      <w:r>
        <w:rPr>
          <w:rFonts w:hint="eastAsia" w:ascii="宋体" w:hAnsi="宋体"/>
          <w:bCs/>
          <w:sz w:val="24"/>
          <w:szCs w:val="24"/>
        </w:rPr>
        <w:t xml:space="preserve"> </w:t>
      </w:r>
    </w:p>
    <w:p>
      <w:pPr>
        <w:adjustRightInd w:val="0"/>
        <w:spacing w:line="400" w:lineRule="exact"/>
        <w:ind w:firstLine="480" w:firstLineChars="200"/>
        <w:jc w:val="left"/>
        <w:rPr>
          <w:rFonts w:ascii="宋体" w:hAnsi="宋体"/>
          <w:sz w:val="24"/>
          <w:szCs w:val="24"/>
        </w:rPr>
      </w:pPr>
      <w:r>
        <w:rPr>
          <w:rFonts w:hint="eastAsia" w:ascii="宋体" w:hAnsi="宋体"/>
          <w:sz w:val="24"/>
          <w:szCs w:val="24"/>
        </w:rPr>
        <w:t>比选人名称：        （盖章）</w:t>
      </w:r>
    </w:p>
    <w:p>
      <w:pPr>
        <w:adjustRightInd w:val="0"/>
        <w:spacing w:line="400" w:lineRule="exact"/>
        <w:ind w:firstLine="480" w:firstLineChars="200"/>
        <w:jc w:val="left"/>
        <w:rPr>
          <w:rFonts w:ascii="宋体" w:hAnsi="宋体"/>
          <w:sz w:val="24"/>
          <w:szCs w:val="24"/>
        </w:rPr>
      </w:pPr>
      <w:r>
        <w:rPr>
          <w:rFonts w:hint="eastAsia" w:ascii="宋体" w:hAnsi="宋体"/>
          <w:sz w:val="24"/>
          <w:szCs w:val="24"/>
        </w:rPr>
        <w:t>法定代表人或授权代表（签字）：</w:t>
      </w:r>
    </w:p>
    <w:p>
      <w:pPr>
        <w:ind w:firstLine="480" w:firstLineChars="200"/>
        <w:rPr>
          <w:rFonts w:ascii="宋体" w:hAnsi="宋体"/>
          <w:sz w:val="24"/>
          <w:szCs w:val="24"/>
        </w:rPr>
      </w:pPr>
      <w:r>
        <w:rPr>
          <w:rFonts w:hint="eastAsia" w:ascii="宋体" w:hAnsi="宋体"/>
          <w:sz w:val="24"/>
          <w:szCs w:val="24"/>
        </w:rPr>
        <w:t>日期：     年  月  日</w:t>
      </w:r>
    </w:p>
    <w:p>
      <w:pPr>
        <w:ind w:firstLine="480" w:firstLineChars="200"/>
        <w:rPr>
          <w:rFonts w:ascii="宋体" w:hAnsi="宋体"/>
          <w:sz w:val="24"/>
          <w:szCs w:val="24"/>
        </w:rPr>
      </w:pPr>
    </w:p>
    <w:p>
      <w:pPr>
        <w:pStyle w:val="3"/>
        <w:spacing w:line="400" w:lineRule="exact"/>
        <w:jc w:val="center"/>
        <w:rPr>
          <w:rFonts w:ascii="宋体" w:hAnsi="宋体"/>
          <w:b w:val="0"/>
          <w:sz w:val="21"/>
          <w:szCs w:val="21"/>
        </w:rPr>
      </w:pPr>
      <w:r>
        <w:rPr>
          <w:rFonts w:hint="eastAsia" w:ascii="黑体"/>
          <w:b w:val="0"/>
        </w:rPr>
        <w:t>二、比选产品技术参数响应表</w:t>
      </w:r>
      <w:r>
        <w:rPr>
          <w:rFonts w:hint="eastAsia" w:ascii="宋体" w:hAnsi="宋体"/>
          <w:b w:val="0"/>
          <w:sz w:val="21"/>
          <w:szCs w:val="21"/>
        </w:rPr>
        <w:t xml:space="preserve"> </w:t>
      </w:r>
    </w:p>
    <w:p>
      <w:pPr>
        <w:pStyle w:val="3"/>
        <w:spacing w:line="400" w:lineRule="exact"/>
        <w:jc w:val="left"/>
        <w:rPr>
          <w:rFonts w:ascii="黑体"/>
          <w:b w:val="0"/>
          <w:szCs w:val="28"/>
        </w:rPr>
      </w:pPr>
      <w:r>
        <w:rPr>
          <w:rFonts w:hint="eastAsia" w:ascii="宋体" w:hAnsi="宋体"/>
          <w:b w:val="0"/>
          <w:sz w:val="21"/>
          <w:szCs w:val="21"/>
        </w:rPr>
        <w:t>货物（设备）名称：</w:t>
      </w:r>
      <w:r>
        <w:rPr>
          <w:rFonts w:hint="eastAsia" w:ascii="宋体" w:hAnsi="宋体"/>
          <w:sz w:val="21"/>
          <w:szCs w:val="21"/>
        </w:rPr>
        <w:t xml:space="preserve">                               </w:t>
      </w:r>
    </w:p>
    <w:tbl>
      <w:tblPr>
        <w:tblStyle w:val="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422"/>
        <w:gridCol w:w="33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pPr>
              <w:pStyle w:val="17"/>
              <w:jc w:val="center"/>
              <w:rPr>
                <w:rFonts w:ascii="宋体" w:hAnsi="宋体"/>
                <w:b/>
                <w:sz w:val="21"/>
                <w:szCs w:val="21"/>
              </w:rPr>
            </w:pPr>
            <w:r>
              <w:rPr>
                <w:rFonts w:hint="eastAsia" w:ascii="宋体" w:hAnsi="宋体"/>
                <w:b/>
                <w:sz w:val="21"/>
                <w:szCs w:val="21"/>
              </w:rPr>
              <w:t>序号</w:t>
            </w:r>
          </w:p>
        </w:tc>
        <w:tc>
          <w:tcPr>
            <w:tcW w:w="3422" w:type="dxa"/>
            <w:vAlign w:val="center"/>
          </w:tcPr>
          <w:p>
            <w:pPr>
              <w:pStyle w:val="17"/>
              <w:ind w:firstLine="422" w:firstLineChars="200"/>
              <w:jc w:val="center"/>
              <w:rPr>
                <w:rFonts w:ascii="宋体" w:hAnsi="宋体"/>
                <w:b/>
                <w:sz w:val="21"/>
                <w:szCs w:val="21"/>
              </w:rPr>
            </w:pPr>
            <w:r>
              <w:rPr>
                <w:rFonts w:hint="eastAsia" w:ascii="宋体" w:hAnsi="宋体"/>
                <w:b/>
                <w:sz w:val="21"/>
                <w:szCs w:val="21"/>
              </w:rPr>
              <w:t>比选文件要求技术参数</w:t>
            </w:r>
          </w:p>
        </w:tc>
        <w:tc>
          <w:tcPr>
            <w:tcW w:w="3360" w:type="dxa"/>
            <w:vAlign w:val="center"/>
          </w:tcPr>
          <w:p>
            <w:pPr>
              <w:pStyle w:val="17"/>
              <w:jc w:val="center"/>
              <w:rPr>
                <w:rFonts w:ascii="宋体" w:hAnsi="宋体"/>
                <w:b/>
                <w:sz w:val="21"/>
                <w:szCs w:val="21"/>
              </w:rPr>
            </w:pPr>
            <w:r>
              <w:rPr>
                <w:rFonts w:hint="eastAsia" w:ascii="宋体" w:hAnsi="宋体"/>
                <w:b/>
                <w:sz w:val="21"/>
                <w:szCs w:val="21"/>
              </w:rPr>
              <w:t>参选产品技术参数</w:t>
            </w:r>
          </w:p>
        </w:tc>
        <w:tc>
          <w:tcPr>
            <w:tcW w:w="1891" w:type="dxa"/>
            <w:vAlign w:val="center"/>
          </w:tcPr>
          <w:p>
            <w:pPr>
              <w:pStyle w:val="17"/>
              <w:jc w:val="center"/>
              <w:rPr>
                <w:rFonts w:ascii="宋体" w:hAnsi="宋体"/>
                <w:b/>
                <w:sz w:val="21"/>
                <w:szCs w:val="21"/>
              </w:rPr>
            </w:pPr>
            <w:r>
              <w:rPr>
                <w:rFonts w:hint="eastAsia" w:ascii="宋体" w:hAnsi="宋体"/>
                <w:b/>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bl>
    <w:p>
      <w:pPr>
        <w:spacing w:line="400" w:lineRule="exact"/>
        <w:ind w:left="600" w:leftChars="57" w:hanging="480" w:hangingChars="200"/>
        <w:rPr>
          <w:rFonts w:ascii="宋体" w:hAnsi="宋体"/>
          <w:sz w:val="24"/>
        </w:rPr>
      </w:pPr>
      <w:r>
        <w:rPr>
          <w:rFonts w:hint="eastAsia" w:ascii="宋体" w:hAnsi="宋体"/>
          <w:sz w:val="24"/>
        </w:rPr>
        <w:t>注：1. 供应商必须把全部技术参数列入此表并与所供应产品作出“正偏离、不偏离、负偏离”响应。</w:t>
      </w:r>
    </w:p>
    <w:p>
      <w:pPr>
        <w:spacing w:line="400" w:lineRule="exact"/>
        <w:ind w:left="598" w:leftChars="285"/>
        <w:rPr>
          <w:rFonts w:ascii="宋体" w:hAnsi="宋体"/>
          <w:sz w:val="24"/>
        </w:rPr>
      </w:pPr>
      <w:r>
        <w:rPr>
          <w:rFonts w:hint="eastAsia" w:ascii="宋体" w:hAnsi="宋体"/>
          <w:sz w:val="24"/>
        </w:rPr>
        <w:t>2．供应商必须据实填写，并对其真实性负责。</w:t>
      </w:r>
    </w:p>
    <w:p>
      <w:pPr>
        <w:spacing w:line="400" w:lineRule="exact"/>
        <w:ind w:left="598" w:leftChars="285"/>
        <w:rPr>
          <w:rFonts w:ascii="宋体" w:hAnsi="宋体"/>
          <w:sz w:val="24"/>
        </w:rPr>
      </w:pPr>
    </w:p>
    <w:p>
      <w:pPr>
        <w:adjustRightInd w:val="0"/>
        <w:spacing w:line="400" w:lineRule="exact"/>
        <w:ind w:firstLine="360" w:firstLineChars="150"/>
        <w:jc w:val="left"/>
        <w:rPr>
          <w:rFonts w:ascii="宋体" w:hAnsi="宋体"/>
          <w:bCs/>
          <w:sz w:val="24"/>
          <w:u w:val="single"/>
        </w:rPr>
      </w:pPr>
      <w:r>
        <w:rPr>
          <w:rFonts w:hint="eastAsia" w:ascii="宋体" w:hAnsi="宋体"/>
          <w:bCs/>
          <w:sz w:val="24"/>
        </w:rPr>
        <w:t>比选人名称：</w:t>
      </w:r>
      <w:r>
        <w:rPr>
          <w:rFonts w:hint="eastAsia" w:ascii="宋体" w:hAnsi="宋体"/>
          <w:bCs/>
          <w:sz w:val="24"/>
          <w:u w:val="single"/>
        </w:rPr>
        <w:t xml:space="preserve">                                      （盖章）</w:t>
      </w:r>
    </w:p>
    <w:p>
      <w:pPr>
        <w:spacing w:line="400" w:lineRule="exact"/>
        <w:ind w:firstLine="360" w:firstLineChars="150"/>
        <w:rPr>
          <w:rFonts w:ascii="宋体" w:hAnsi="宋体"/>
          <w:bCs/>
          <w:sz w:val="24"/>
          <w:u w:val="single"/>
        </w:rPr>
      </w:pPr>
      <w:r>
        <w:rPr>
          <w:rFonts w:hint="eastAsia" w:ascii="宋体" w:hAnsi="宋体"/>
          <w:sz w:val="24"/>
        </w:rPr>
        <w:t>法定代表人或授权代表（签字）</w:t>
      </w:r>
      <w:r>
        <w:rPr>
          <w:rFonts w:hint="eastAsia" w:ascii="宋体" w:hAnsi="宋体"/>
          <w:bCs/>
          <w:sz w:val="24"/>
        </w:rPr>
        <w:t>：</w:t>
      </w:r>
      <w:r>
        <w:rPr>
          <w:rFonts w:hint="eastAsia" w:ascii="宋体" w:hAnsi="宋体"/>
          <w:bCs/>
          <w:sz w:val="24"/>
          <w:u w:val="single"/>
        </w:rPr>
        <w:t xml:space="preserve">                             </w:t>
      </w:r>
    </w:p>
    <w:p>
      <w:pPr>
        <w:spacing w:line="400" w:lineRule="exact"/>
        <w:ind w:firstLine="360" w:firstLineChars="150"/>
        <w:rPr>
          <w:rFonts w:ascii="宋体" w:hAnsi="宋体"/>
          <w:bCs/>
          <w:sz w:val="24"/>
        </w:rPr>
      </w:pPr>
      <w:r>
        <w:rPr>
          <w:rFonts w:hint="eastAsia" w:ascii="宋体" w:hAnsi="宋体"/>
          <w:bCs/>
          <w:sz w:val="24"/>
        </w:rPr>
        <w:t>日期：     年  月  日</w:t>
      </w:r>
    </w:p>
    <w:p>
      <w:pPr>
        <w:spacing w:line="400" w:lineRule="exact"/>
        <w:rPr>
          <w:rFonts w:ascii="宋体" w:hAnsi="宋体"/>
          <w:bCs/>
          <w:sz w:val="24"/>
        </w:rPr>
      </w:pPr>
    </w:p>
    <w:p>
      <w:pPr>
        <w:pStyle w:val="3"/>
        <w:numPr>
          <w:ilvl w:val="0"/>
          <w:numId w:val="4"/>
        </w:numPr>
        <w:spacing w:line="400" w:lineRule="exact"/>
        <w:rPr>
          <w:rFonts w:ascii="黑体"/>
          <w:b w:val="0"/>
        </w:rPr>
      </w:pPr>
      <w:r>
        <w:rPr>
          <w:rFonts w:hint="eastAsia" w:ascii="黑体"/>
          <w:b w:val="0"/>
        </w:rPr>
        <w:t>商务应答表：</w:t>
      </w:r>
    </w:p>
    <w:tbl>
      <w:tblPr>
        <w:tblStyle w:val="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422"/>
        <w:gridCol w:w="33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pPr>
              <w:pStyle w:val="17"/>
              <w:jc w:val="center"/>
              <w:rPr>
                <w:rFonts w:ascii="宋体" w:hAnsi="宋体"/>
                <w:b/>
                <w:sz w:val="21"/>
                <w:szCs w:val="21"/>
              </w:rPr>
            </w:pPr>
            <w:r>
              <w:rPr>
                <w:rFonts w:hint="eastAsia" w:ascii="宋体" w:hAnsi="宋体"/>
                <w:b/>
                <w:sz w:val="21"/>
                <w:szCs w:val="21"/>
              </w:rPr>
              <w:t>序号</w:t>
            </w:r>
          </w:p>
        </w:tc>
        <w:tc>
          <w:tcPr>
            <w:tcW w:w="3422" w:type="dxa"/>
            <w:vAlign w:val="center"/>
          </w:tcPr>
          <w:p>
            <w:pPr>
              <w:pStyle w:val="17"/>
              <w:ind w:firstLine="422" w:firstLineChars="200"/>
              <w:jc w:val="center"/>
              <w:rPr>
                <w:rFonts w:ascii="宋体" w:hAnsi="宋体"/>
                <w:b/>
                <w:sz w:val="21"/>
                <w:szCs w:val="21"/>
              </w:rPr>
            </w:pPr>
            <w:r>
              <w:rPr>
                <w:rFonts w:hint="eastAsia" w:ascii="宋体" w:hAnsi="宋体"/>
                <w:b/>
                <w:sz w:val="21"/>
                <w:szCs w:val="21"/>
              </w:rPr>
              <w:t>比选文件要求</w:t>
            </w:r>
          </w:p>
        </w:tc>
        <w:tc>
          <w:tcPr>
            <w:tcW w:w="3360" w:type="dxa"/>
            <w:vAlign w:val="center"/>
          </w:tcPr>
          <w:p>
            <w:pPr>
              <w:pStyle w:val="17"/>
              <w:jc w:val="center"/>
              <w:rPr>
                <w:rFonts w:ascii="宋体" w:hAnsi="宋体"/>
                <w:b/>
                <w:sz w:val="21"/>
                <w:szCs w:val="21"/>
              </w:rPr>
            </w:pPr>
            <w:r>
              <w:rPr>
                <w:rFonts w:hint="eastAsia" w:ascii="宋体" w:hAnsi="宋体"/>
                <w:b/>
                <w:sz w:val="21"/>
                <w:szCs w:val="21"/>
              </w:rPr>
              <w:t>参选响应情况</w:t>
            </w:r>
          </w:p>
        </w:tc>
        <w:tc>
          <w:tcPr>
            <w:tcW w:w="1891" w:type="dxa"/>
            <w:vAlign w:val="center"/>
          </w:tcPr>
          <w:p>
            <w:pPr>
              <w:pStyle w:val="17"/>
              <w:jc w:val="center"/>
              <w:rPr>
                <w:rFonts w:ascii="宋体" w:hAnsi="宋体"/>
                <w:b/>
                <w:sz w:val="21"/>
                <w:szCs w:val="21"/>
              </w:rPr>
            </w:pPr>
            <w:r>
              <w:rPr>
                <w:rFonts w:hint="eastAsia" w:ascii="宋体" w:hAnsi="宋体"/>
                <w:b/>
                <w:sz w:val="21"/>
                <w:szCs w:val="21"/>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75" w:type="dxa"/>
          </w:tcPr>
          <w:p>
            <w:pPr>
              <w:pStyle w:val="17"/>
              <w:rPr>
                <w:rFonts w:ascii="宋体" w:hAnsi="宋体"/>
                <w:sz w:val="21"/>
                <w:szCs w:val="21"/>
              </w:rPr>
            </w:pPr>
          </w:p>
        </w:tc>
        <w:tc>
          <w:tcPr>
            <w:tcW w:w="3422" w:type="dxa"/>
          </w:tcPr>
          <w:p>
            <w:pPr>
              <w:pStyle w:val="17"/>
              <w:rPr>
                <w:rFonts w:ascii="宋体" w:hAnsi="宋体"/>
                <w:sz w:val="21"/>
                <w:szCs w:val="21"/>
              </w:rPr>
            </w:pPr>
          </w:p>
        </w:tc>
        <w:tc>
          <w:tcPr>
            <w:tcW w:w="3360" w:type="dxa"/>
          </w:tcPr>
          <w:p>
            <w:pPr>
              <w:pStyle w:val="17"/>
              <w:rPr>
                <w:rFonts w:ascii="宋体" w:hAnsi="宋体"/>
                <w:sz w:val="21"/>
                <w:szCs w:val="21"/>
              </w:rPr>
            </w:pPr>
          </w:p>
        </w:tc>
        <w:tc>
          <w:tcPr>
            <w:tcW w:w="1891" w:type="dxa"/>
          </w:tcPr>
          <w:p>
            <w:pPr>
              <w:pStyle w:val="17"/>
              <w:rPr>
                <w:rFonts w:ascii="宋体" w:hAnsi="宋体"/>
                <w:sz w:val="21"/>
                <w:szCs w:val="21"/>
              </w:rPr>
            </w:pPr>
          </w:p>
        </w:tc>
      </w:tr>
    </w:tbl>
    <w:p>
      <w:pPr>
        <w:pStyle w:val="4"/>
        <w:ind w:firstLine="0" w:firstLineChars="0"/>
      </w:pPr>
    </w:p>
    <w:p>
      <w:pPr>
        <w:pStyle w:val="3"/>
        <w:numPr>
          <w:ilvl w:val="0"/>
          <w:numId w:val="4"/>
        </w:numPr>
        <w:spacing w:line="400" w:lineRule="exact"/>
        <w:rPr>
          <w:rFonts w:hint="eastAsia" w:ascii="黑体"/>
          <w:b w:val="0"/>
        </w:rPr>
      </w:pPr>
      <w:r>
        <w:rPr>
          <w:rFonts w:hint="eastAsia" w:ascii="黑体"/>
          <w:b w:val="0"/>
        </w:rPr>
        <w:t>他承诺事项：</w:t>
      </w:r>
    </w:p>
    <w:p>
      <w:pPr>
        <w:pStyle w:val="4"/>
        <w:rPr>
          <w:rFonts w:hint="eastAsia"/>
        </w:rPr>
      </w:pPr>
    </w:p>
    <w:p>
      <w:pPr>
        <w:spacing w:line="400" w:lineRule="exact"/>
        <w:jc w:val="center"/>
        <w:rPr>
          <w:rFonts w:ascii="黑体" w:hAnsi="黑体" w:eastAsia="黑体"/>
          <w:b/>
          <w:sz w:val="18"/>
          <w:szCs w:val="18"/>
        </w:rPr>
      </w:pPr>
      <w:r>
        <w:rPr>
          <w:rFonts w:hint="eastAsia" w:ascii="黑体" w:hAnsi="黑体" w:eastAsia="黑体"/>
          <w:b/>
          <w:sz w:val="18"/>
          <w:szCs w:val="18"/>
        </w:rPr>
        <w:t>阿坝州林业中心医院·成都市第三人民医院都江堰分院</w:t>
      </w:r>
    </w:p>
    <w:p>
      <w:pPr>
        <w:spacing w:line="400" w:lineRule="exact"/>
        <w:jc w:val="center"/>
        <w:rPr>
          <w:rFonts w:ascii="黑体" w:hAnsi="黑体" w:eastAsia="黑体"/>
          <w:b/>
          <w:sz w:val="24"/>
          <w:szCs w:val="24"/>
        </w:rPr>
      </w:pPr>
      <w:r>
        <w:rPr>
          <w:rFonts w:hint="eastAsia" w:ascii="黑体" w:hAnsi="黑体" w:eastAsia="黑体"/>
          <w:b/>
          <w:sz w:val="24"/>
          <w:szCs w:val="24"/>
        </w:rPr>
        <w:t>医用设备（项目）竞价/比选采购综合评分表</w:t>
      </w:r>
    </w:p>
    <w:p>
      <w:pPr>
        <w:pStyle w:val="4"/>
      </w:pPr>
    </w:p>
    <w:p>
      <w:pPr>
        <w:ind w:firstLine="420" w:firstLineChars="200"/>
      </w:pPr>
    </w:p>
    <w:tbl>
      <w:tblPr>
        <w:tblStyle w:val="7"/>
        <w:tblW w:w="996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8"/>
        <w:gridCol w:w="479"/>
        <w:gridCol w:w="69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1428" w:type="dxa"/>
            <w:vAlign w:val="center"/>
          </w:tcPr>
          <w:p>
            <w:pPr>
              <w:pStyle w:val="18"/>
              <w:spacing w:line="300" w:lineRule="exact"/>
              <w:jc w:val="center"/>
              <w:rPr>
                <w:color w:val="auto"/>
              </w:rPr>
            </w:pPr>
            <w:r>
              <w:rPr>
                <w:rStyle w:val="9"/>
                <w:rFonts w:hint="eastAsia"/>
                <w:color w:val="auto"/>
              </w:rPr>
              <w:t>评价因素</w:t>
            </w:r>
          </w:p>
        </w:tc>
        <w:tc>
          <w:tcPr>
            <w:tcW w:w="479" w:type="dxa"/>
            <w:vAlign w:val="center"/>
          </w:tcPr>
          <w:p>
            <w:pPr>
              <w:pStyle w:val="18"/>
              <w:spacing w:line="300" w:lineRule="exact"/>
              <w:jc w:val="center"/>
              <w:rPr>
                <w:color w:val="auto"/>
              </w:rPr>
            </w:pPr>
            <w:r>
              <w:rPr>
                <w:rStyle w:val="9"/>
                <w:rFonts w:hint="eastAsia"/>
                <w:color w:val="auto"/>
              </w:rPr>
              <w:t>分值</w:t>
            </w:r>
            <w:r>
              <w:rPr>
                <w:rStyle w:val="9"/>
                <w:color w:val="auto"/>
              </w:rPr>
              <w:t xml:space="preserve"> </w:t>
            </w:r>
          </w:p>
        </w:tc>
        <w:tc>
          <w:tcPr>
            <w:tcW w:w="6951" w:type="dxa"/>
            <w:vAlign w:val="center"/>
          </w:tcPr>
          <w:p>
            <w:pPr>
              <w:pStyle w:val="18"/>
              <w:spacing w:line="300" w:lineRule="exact"/>
              <w:jc w:val="center"/>
              <w:rPr>
                <w:rStyle w:val="9"/>
                <w:color w:val="auto"/>
              </w:rPr>
            </w:pPr>
            <w:r>
              <w:rPr>
                <w:rStyle w:val="9"/>
                <w:rFonts w:hint="eastAsia"/>
                <w:color w:val="auto"/>
              </w:rPr>
              <w:t>评分原则说明</w:t>
            </w:r>
          </w:p>
        </w:tc>
        <w:tc>
          <w:tcPr>
            <w:tcW w:w="1106" w:type="dxa"/>
            <w:vAlign w:val="center"/>
          </w:tcPr>
          <w:p>
            <w:pPr>
              <w:pStyle w:val="18"/>
              <w:spacing w:line="300" w:lineRule="exact"/>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tblCellSpacing w:w="0" w:type="dxa"/>
        </w:trPr>
        <w:tc>
          <w:tcPr>
            <w:tcW w:w="1428" w:type="dxa"/>
            <w:vAlign w:val="center"/>
          </w:tcPr>
          <w:p>
            <w:pPr>
              <w:pStyle w:val="6"/>
              <w:spacing w:line="300" w:lineRule="exact"/>
              <w:jc w:val="center"/>
              <w:rPr>
                <w:rFonts w:eastAsia="宋体"/>
                <w:sz w:val="18"/>
                <w:szCs w:val="18"/>
              </w:rPr>
            </w:pPr>
            <w:r>
              <w:rPr>
                <w:rFonts w:hint="eastAsia" w:ascii="宋体" w:hAnsi="宋体" w:eastAsia="宋体" w:cs="宋体"/>
                <w:sz w:val="18"/>
                <w:szCs w:val="18"/>
              </w:rPr>
              <w:t>报价</w:t>
            </w:r>
          </w:p>
        </w:tc>
        <w:tc>
          <w:tcPr>
            <w:tcW w:w="479" w:type="dxa"/>
            <w:vAlign w:val="center"/>
          </w:tcPr>
          <w:p>
            <w:pPr>
              <w:pStyle w:val="18"/>
              <w:spacing w:line="300" w:lineRule="exact"/>
              <w:jc w:val="center"/>
              <w:rPr>
                <w:color w:val="auto"/>
              </w:rPr>
            </w:pPr>
            <w:r>
              <w:rPr>
                <w:rFonts w:hint="eastAsia"/>
                <w:color w:val="auto"/>
              </w:rPr>
              <w:t>4</w:t>
            </w:r>
            <w:r>
              <w:rPr>
                <w:color w:val="auto"/>
              </w:rPr>
              <w:t>0</w:t>
            </w:r>
          </w:p>
        </w:tc>
        <w:tc>
          <w:tcPr>
            <w:tcW w:w="6951" w:type="dxa"/>
            <w:vAlign w:val="center"/>
          </w:tcPr>
          <w:p>
            <w:pPr>
              <w:widowControl/>
              <w:rPr>
                <w:rFonts w:hAnsi="宋体"/>
                <w:sz w:val="18"/>
                <w:szCs w:val="18"/>
              </w:rPr>
            </w:pPr>
            <w:r>
              <w:rPr>
                <w:rFonts w:hint="eastAsia" w:hAnsi="宋体"/>
                <w:sz w:val="18"/>
                <w:szCs w:val="18"/>
              </w:rPr>
              <w:t>综合评分法中的价格分统一采用低价优先法计算，即满足比选文件要求且投标价格最低的报价为评标基准价，其价格分为满分。其他参选人的价格分统一按照下列公式计算：</w:t>
            </w:r>
          </w:p>
          <w:p>
            <w:pPr>
              <w:widowControl/>
              <w:rPr>
                <w:rFonts w:hAnsi="宋体"/>
                <w:sz w:val="18"/>
                <w:szCs w:val="18"/>
              </w:rPr>
            </w:pPr>
            <w:r>
              <w:rPr>
                <w:rFonts w:hint="eastAsia" w:hAnsi="宋体"/>
                <w:sz w:val="18"/>
                <w:szCs w:val="18"/>
              </w:rPr>
              <w:t>报价得分=(评分基准价／参选报价)×100×权重</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1428" w:type="dxa"/>
            <w:vAlign w:val="center"/>
          </w:tcPr>
          <w:p>
            <w:pPr>
              <w:pStyle w:val="6"/>
              <w:spacing w:line="300" w:lineRule="exact"/>
              <w:jc w:val="center"/>
              <w:rPr>
                <w:rFonts w:eastAsia="宋体"/>
                <w:sz w:val="18"/>
                <w:szCs w:val="18"/>
              </w:rPr>
            </w:pPr>
            <w:r>
              <w:rPr>
                <w:rFonts w:hint="eastAsia" w:ascii="宋体" w:hAnsi="宋体" w:eastAsia="宋体" w:cs="宋体"/>
                <w:sz w:val="18"/>
                <w:szCs w:val="18"/>
              </w:rPr>
              <w:t>技术及其他要求</w:t>
            </w:r>
          </w:p>
        </w:tc>
        <w:tc>
          <w:tcPr>
            <w:tcW w:w="479" w:type="dxa"/>
            <w:vAlign w:val="center"/>
          </w:tcPr>
          <w:p>
            <w:pPr>
              <w:pStyle w:val="18"/>
              <w:spacing w:line="300" w:lineRule="exact"/>
              <w:jc w:val="center"/>
              <w:rPr>
                <w:color w:val="auto"/>
              </w:rPr>
            </w:pPr>
            <w:r>
              <w:rPr>
                <w:color w:val="auto"/>
              </w:rPr>
              <w:t>4</w:t>
            </w:r>
            <w:r>
              <w:rPr>
                <w:rFonts w:hint="eastAsia"/>
                <w:color w:val="auto"/>
              </w:rPr>
              <w:t>0</w:t>
            </w:r>
          </w:p>
        </w:tc>
        <w:tc>
          <w:tcPr>
            <w:tcW w:w="6951" w:type="dxa"/>
            <w:vAlign w:val="center"/>
          </w:tcPr>
          <w:p>
            <w:pPr>
              <w:pStyle w:val="18"/>
              <w:spacing w:line="300" w:lineRule="exact"/>
              <w:rPr>
                <w:color w:val="auto"/>
              </w:rPr>
            </w:pPr>
            <w:r>
              <w:rPr>
                <w:rFonts w:hint="eastAsia" w:hAnsi="宋体"/>
                <w:color w:val="auto"/>
              </w:rPr>
              <w:t>技术指标和履约主要条款与比选要求有负偏离的，带★号的重要参数有负偏离的每一项扣2分,其他一般参数有负偏离的每一项扣1分，直至此项分值扣完为止。</w:t>
            </w:r>
            <w:r>
              <w:rPr>
                <w:color w:val="auto"/>
              </w:rPr>
              <w:t xml:space="preserve"> </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blCellSpacing w:w="0" w:type="dxa"/>
        </w:trPr>
        <w:tc>
          <w:tcPr>
            <w:tcW w:w="1428" w:type="dxa"/>
            <w:vAlign w:val="center"/>
          </w:tcPr>
          <w:p>
            <w:pPr>
              <w:pStyle w:val="18"/>
              <w:spacing w:line="300" w:lineRule="exact"/>
              <w:jc w:val="center"/>
              <w:rPr>
                <w:color w:val="auto"/>
              </w:rPr>
            </w:pPr>
            <w:r>
              <w:rPr>
                <w:rFonts w:hint="eastAsia" w:hAnsi="宋体"/>
                <w:color w:val="auto"/>
              </w:rPr>
              <w:t>项目实施方案</w:t>
            </w:r>
          </w:p>
        </w:tc>
        <w:tc>
          <w:tcPr>
            <w:tcW w:w="479" w:type="dxa"/>
            <w:vAlign w:val="center"/>
          </w:tcPr>
          <w:p>
            <w:pPr>
              <w:pStyle w:val="18"/>
              <w:spacing w:line="300" w:lineRule="exact"/>
              <w:jc w:val="center"/>
              <w:rPr>
                <w:rFonts w:hAnsi="宋体"/>
                <w:color w:val="auto"/>
              </w:rPr>
            </w:pPr>
            <w:r>
              <w:rPr>
                <w:rFonts w:hint="eastAsia" w:hAnsi="宋体"/>
                <w:color w:val="auto"/>
              </w:rPr>
              <w:t>8</w:t>
            </w:r>
            <w:r>
              <w:rPr>
                <w:rFonts w:hAnsi="宋体"/>
                <w:color w:val="auto"/>
              </w:rPr>
              <w:t xml:space="preserve"> </w:t>
            </w:r>
          </w:p>
        </w:tc>
        <w:tc>
          <w:tcPr>
            <w:tcW w:w="6951" w:type="dxa"/>
            <w:vAlign w:val="center"/>
          </w:tcPr>
          <w:p>
            <w:pPr>
              <w:widowControl/>
              <w:rPr>
                <w:rFonts w:ascii="Arial Unicode MS" w:hAnsi="宋体"/>
                <w:kern w:val="0"/>
                <w:sz w:val="18"/>
                <w:szCs w:val="18"/>
              </w:rPr>
            </w:pPr>
            <w:r>
              <w:rPr>
                <w:rFonts w:hint="eastAsia" w:hAnsi="宋体"/>
                <w:sz w:val="18"/>
                <w:szCs w:val="18"/>
              </w:rPr>
              <w:t>参选人根据项目采购内容及业务需求提供完善的项目实施方案。项目实施方案包括但不限于：质量保障措施、运输送货安排、进度安排及进度保障措施。方案内容描述完整、完全满足本采购项目的得8分，每有一项不完善或不利于项目实施的扣2分；每存在一项无法满足采购需求或缺项的的扣3分，扣完为止。</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8" w:hRule="atLeast"/>
          <w:tblCellSpacing w:w="0" w:type="dxa"/>
        </w:trPr>
        <w:tc>
          <w:tcPr>
            <w:tcW w:w="1428" w:type="dxa"/>
            <w:vAlign w:val="center"/>
          </w:tcPr>
          <w:p>
            <w:pPr>
              <w:pStyle w:val="18"/>
              <w:spacing w:line="300" w:lineRule="exact"/>
              <w:jc w:val="center"/>
              <w:rPr>
                <w:color w:val="auto"/>
              </w:rPr>
            </w:pPr>
            <w:r>
              <w:rPr>
                <w:rFonts w:hint="eastAsia"/>
                <w:color w:val="auto"/>
              </w:rPr>
              <w:t>售后服务措施及培训</w:t>
            </w:r>
          </w:p>
        </w:tc>
        <w:tc>
          <w:tcPr>
            <w:tcW w:w="479" w:type="dxa"/>
            <w:vAlign w:val="center"/>
          </w:tcPr>
          <w:p>
            <w:pPr>
              <w:pStyle w:val="18"/>
              <w:spacing w:line="300" w:lineRule="exact"/>
              <w:jc w:val="center"/>
              <w:rPr>
                <w:color w:val="auto"/>
              </w:rPr>
            </w:pPr>
            <w:r>
              <w:rPr>
                <w:rFonts w:hint="eastAsia"/>
                <w:color w:val="auto"/>
              </w:rPr>
              <w:t>8</w:t>
            </w:r>
            <w:r>
              <w:rPr>
                <w:color w:val="auto"/>
              </w:rPr>
              <w:t xml:space="preserve"> </w:t>
            </w:r>
          </w:p>
        </w:tc>
        <w:tc>
          <w:tcPr>
            <w:tcW w:w="6951" w:type="dxa"/>
            <w:vAlign w:val="center"/>
          </w:tcPr>
          <w:p>
            <w:pPr>
              <w:pStyle w:val="18"/>
              <w:spacing w:line="300" w:lineRule="exact"/>
              <w:rPr>
                <w:rFonts w:ascii="Times New Roman" w:hAnsi="宋体"/>
                <w:color w:val="auto"/>
                <w:kern w:val="2"/>
              </w:rPr>
            </w:pPr>
            <w:r>
              <w:rPr>
                <w:rFonts w:hint="eastAsia" w:ascii="Times New Roman" w:hAnsi="宋体"/>
                <w:color w:val="auto"/>
                <w:kern w:val="2"/>
              </w:rPr>
              <w:t>参选人根据项目采购内容及业务需求提供完善的售后服务方案。售后服务方案包括但不限于培训方案、响应时间、现场服务支持团队、售后巡检及后续保障计划等；在完全满足本采购项目要求的基础上，所有因素都涉及、完全满足本采购项目的得8分；每有一项不完善或不利于项目实施的扣1分；每存在一项无法满足采购需求或缺项的扣2分，扣完为止。</w:t>
            </w:r>
          </w:p>
        </w:tc>
        <w:tc>
          <w:tcPr>
            <w:tcW w:w="1106" w:type="dxa"/>
            <w:vAlign w:val="center"/>
          </w:tcPr>
          <w:p>
            <w:pPr>
              <w:pStyle w:val="18"/>
              <w:spacing w:line="300" w:lineRule="exact"/>
              <w:rPr>
                <w:rFonts w:ascii="Times New Roman"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5"/>
              <w:snapToGrid w:val="0"/>
              <w:spacing w:after="0" w:line="360" w:lineRule="auto"/>
              <w:jc w:val="center"/>
              <w:rPr>
                <w:rFonts w:ascii="Arial Unicode MS" w:hAnsi="Arial Unicode MS"/>
                <w:kern w:val="0"/>
                <w:sz w:val="18"/>
                <w:szCs w:val="18"/>
              </w:rPr>
            </w:pPr>
            <w:r>
              <w:rPr>
                <w:rFonts w:hint="eastAsia" w:ascii="Arial Unicode MS" w:hAnsi="Arial Unicode MS"/>
                <w:kern w:val="0"/>
                <w:sz w:val="18"/>
                <w:szCs w:val="18"/>
              </w:rPr>
              <w:t>项目业绩</w:t>
            </w:r>
          </w:p>
        </w:tc>
        <w:tc>
          <w:tcPr>
            <w:tcW w:w="479" w:type="dxa"/>
            <w:vAlign w:val="center"/>
          </w:tcPr>
          <w:p>
            <w:pPr>
              <w:pStyle w:val="18"/>
              <w:spacing w:line="300" w:lineRule="exact"/>
              <w:jc w:val="center"/>
              <w:rPr>
                <w:color w:val="auto"/>
              </w:rPr>
            </w:pPr>
            <w:r>
              <w:rPr>
                <w:rFonts w:hint="eastAsia"/>
                <w:color w:val="auto"/>
              </w:rPr>
              <w:t>3</w:t>
            </w:r>
          </w:p>
        </w:tc>
        <w:tc>
          <w:tcPr>
            <w:tcW w:w="6951" w:type="dxa"/>
            <w:vAlign w:val="center"/>
          </w:tcPr>
          <w:p>
            <w:pPr>
              <w:pStyle w:val="5"/>
              <w:snapToGrid w:val="0"/>
              <w:spacing w:after="0" w:line="360" w:lineRule="auto"/>
              <w:rPr>
                <w:rFonts w:hAnsi="宋体"/>
                <w:szCs w:val="18"/>
              </w:rPr>
            </w:pPr>
            <w:r>
              <w:rPr>
                <w:rFonts w:hint="eastAsia" w:hAnsi="宋体"/>
                <w:sz w:val="18"/>
                <w:szCs w:val="18"/>
              </w:rPr>
              <w:t>参选人提供本单位类似项目业绩，每提供一个得1分，最高得3分，不提供不得分。</w:t>
            </w:r>
            <w:r>
              <w:rPr>
                <w:rFonts w:hint="eastAsia" w:hAnsi="宋体"/>
                <w:szCs w:val="18"/>
              </w:rPr>
              <w:t xml:space="preserve"> </w:t>
            </w:r>
          </w:p>
          <w:p>
            <w:pPr>
              <w:pStyle w:val="5"/>
              <w:snapToGrid w:val="0"/>
              <w:spacing w:after="0" w:line="360" w:lineRule="auto"/>
              <w:rPr>
                <w:rFonts w:hAnsi="宋体"/>
                <w:sz w:val="18"/>
                <w:szCs w:val="18"/>
              </w:rPr>
            </w:pPr>
            <w:r>
              <w:rPr>
                <w:rFonts w:hint="eastAsia" w:hAnsi="宋体"/>
                <w:sz w:val="18"/>
                <w:szCs w:val="18"/>
              </w:rPr>
              <w:t>注：参选人提供中标（成交）通知书或项目合同/协议复印件加盖参选人单位公章。</w:t>
            </w:r>
          </w:p>
        </w:tc>
        <w:tc>
          <w:tcPr>
            <w:tcW w:w="1106" w:type="dxa"/>
            <w:vAlign w:val="center"/>
          </w:tcPr>
          <w:p>
            <w:pPr>
              <w:pStyle w:val="18"/>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blCellSpacing w:w="0" w:type="dxa"/>
        </w:trPr>
        <w:tc>
          <w:tcPr>
            <w:tcW w:w="1428" w:type="dxa"/>
            <w:vAlign w:val="center"/>
          </w:tcPr>
          <w:p>
            <w:pPr>
              <w:pStyle w:val="6"/>
              <w:spacing w:line="300" w:lineRule="exact"/>
              <w:jc w:val="center"/>
              <w:rPr>
                <w:rFonts w:eastAsia="宋体"/>
                <w:sz w:val="18"/>
                <w:szCs w:val="18"/>
              </w:rPr>
            </w:pPr>
            <w:r>
              <w:rPr>
                <w:rFonts w:hint="eastAsia" w:eastAsia="宋体"/>
                <w:sz w:val="18"/>
                <w:szCs w:val="18"/>
              </w:rPr>
              <w:t>比选文件的规范性</w:t>
            </w:r>
          </w:p>
        </w:tc>
        <w:tc>
          <w:tcPr>
            <w:tcW w:w="479" w:type="dxa"/>
            <w:vAlign w:val="center"/>
          </w:tcPr>
          <w:p>
            <w:pPr>
              <w:pStyle w:val="18"/>
              <w:spacing w:line="300" w:lineRule="exact"/>
              <w:jc w:val="center"/>
              <w:rPr>
                <w:color w:val="auto"/>
              </w:rPr>
            </w:pPr>
            <w:r>
              <w:rPr>
                <w:rFonts w:hint="eastAsia"/>
                <w:color w:val="auto"/>
              </w:rPr>
              <w:t>1</w:t>
            </w:r>
          </w:p>
        </w:tc>
        <w:tc>
          <w:tcPr>
            <w:tcW w:w="6951" w:type="dxa"/>
            <w:vAlign w:val="center"/>
          </w:tcPr>
          <w:p>
            <w:pPr>
              <w:pStyle w:val="18"/>
              <w:spacing w:line="300" w:lineRule="exact"/>
              <w:rPr>
                <w:color w:val="auto"/>
              </w:rPr>
            </w:pPr>
            <w:r>
              <w:rPr>
                <w:rFonts w:hint="eastAsia" w:hAnsi="宋体"/>
                <w:color w:val="auto"/>
              </w:rPr>
              <w:t>比选文件制作规范，没有偏差情形的得1分；有一项偏差扣0.5分，直至该项分值扣完为止。</w:t>
            </w:r>
          </w:p>
        </w:tc>
        <w:tc>
          <w:tcPr>
            <w:tcW w:w="1106" w:type="dxa"/>
            <w:vAlign w:val="center"/>
          </w:tcPr>
          <w:p>
            <w:pPr>
              <w:pStyle w:val="18"/>
              <w:spacing w:line="300" w:lineRule="exact"/>
              <w:rPr>
                <w:color w:val="auto"/>
              </w:rPr>
            </w:pPr>
          </w:p>
        </w:tc>
      </w:tr>
    </w:tbl>
    <w:p>
      <w:pPr>
        <w:pStyle w:val="4"/>
        <w:ind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FC1E8"/>
    <w:multiLevelType w:val="singleLevel"/>
    <w:tmpl w:val="ACAFC1E8"/>
    <w:lvl w:ilvl="0" w:tentative="0">
      <w:start w:val="3"/>
      <w:numFmt w:val="chineseCounting"/>
      <w:suff w:val="nothing"/>
      <w:lvlText w:val="%1、"/>
      <w:lvlJc w:val="left"/>
      <w:rPr>
        <w:rFonts w:hint="eastAsia"/>
      </w:rPr>
    </w:lvl>
  </w:abstractNum>
  <w:abstractNum w:abstractNumId="1">
    <w:nsid w:val="073A73ED"/>
    <w:multiLevelType w:val="multilevel"/>
    <w:tmpl w:val="073A73ED"/>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902182C"/>
    <w:multiLevelType w:val="multilevel"/>
    <w:tmpl w:val="1902182C"/>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DB96C0A"/>
    <w:multiLevelType w:val="multilevel"/>
    <w:tmpl w:val="7DB96C0A"/>
    <w:lvl w:ilvl="0" w:tentative="0">
      <w:start w:val="1"/>
      <w:numFmt w:val="decimal"/>
      <w:lvlText w:val="%1、"/>
      <w:lvlJc w:val="left"/>
      <w:pPr>
        <w:ind w:left="1146"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5E161E9F"/>
    <w:rsid w:val="00140158"/>
    <w:rsid w:val="003F4AC1"/>
    <w:rsid w:val="006E641E"/>
    <w:rsid w:val="009A0901"/>
    <w:rsid w:val="00BD2784"/>
    <w:rsid w:val="0B7946D4"/>
    <w:rsid w:val="2EE968EA"/>
    <w:rsid w:val="36266C11"/>
    <w:rsid w:val="4A7B3953"/>
    <w:rsid w:val="4B150D07"/>
    <w:rsid w:val="50192471"/>
    <w:rsid w:val="54847CA9"/>
    <w:rsid w:val="58CF2432"/>
    <w:rsid w:val="5E161E9F"/>
    <w:rsid w:val="7A412C96"/>
    <w:rsid w:val="7CB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jc w:val="left"/>
      <w:outlineLvl w:val="0"/>
    </w:pPr>
    <w:rPr>
      <w:rFonts w:ascii="Tahoma" w:hAnsi="Tahoma" w:eastAsia="微软雅黑"/>
      <w:b/>
      <w:spacing w:val="52"/>
      <w:kern w:val="0"/>
      <w:sz w:val="56"/>
      <w:szCs w:val="22"/>
    </w:rPr>
  </w:style>
  <w:style w:type="paragraph" w:styleId="3">
    <w:name w:val="heading 2"/>
    <w:basedOn w:val="1"/>
    <w:next w:val="4"/>
    <w:qFormat/>
    <w:uiPriority w:val="0"/>
    <w:pPr>
      <w:keepNext/>
      <w:keepLines/>
      <w:spacing w:before="260" w:after="260" w:line="500" w:lineRule="exact"/>
      <w:outlineLvl w:val="1"/>
    </w:pPr>
    <w:rPr>
      <w:rFonts w:ascii="Arial" w:hAnsi="Arial" w:eastAsia="黑体"/>
      <w:b/>
      <w:kern w:val="0"/>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ody Text"/>
    <w:basedOn w:val="1"/>
    <w:next w:val="1"/>
    <w:qFormat/>
    <w:uiPriority w:val="0"/>
    <w:pPr>
      <w:spacing w:after="120"/>
    </w:pPr>
    <w:rPr>
      <w:szCs w:val="24"/>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Times New Roman"/>
      <w:kern w:val="0"/>
      <w:sz w:val="24"/>
      <w:szCs w:val="24"/>
    </w:rPr>
  </w:style>
  <w:style w:type="character" w:styleId="9">
    <w:name w:val="Strong"/>
    <w:qFormat/>
    <w:uiPriority w:val="0"/>
    <w:rPr>
      <w:b/>
      <w:bCs/>
    </w:rPr>
  </w:style>
  <w:style w:type="character" w:customStyle="1" w:styleId="10">
    <w:name w:val="标题 1 Char"/>
    <w:link w:val="2"/>
    <w:qFormat/>
    <w:uiPriority w:val="0"/>
    <w:rPr>
      <w:rFonts w:ascii="Tahoma" w:hAnsi="Tahoma" w:eastAsia="微软雅黑"/>
      <w:b/>
      <w:spacing w:val="43"/>
      <w:kern w:val="44"/>
      <w:sz w:val="56"/>
      <w:szCs w:val="22"/>
    </w:rPr>
  </w:style>
  <w:style w:type="paragraph" w:customStyle="1" w:styleId="11">
    <w:name w:val="样式1"/>
    <w:basedOn w:val="1"/>
    <w:qFormat/>
    <w:uiPriority w:val="0"/>
    <w:pPr>
      <w:spacing w:line="320" w:lineRule="exact"/>
      <w:jc w:val="center"/>
    </w:pPr>
    <w:rPr>
      <w:rFonts w:asciiTheme="minorHAnsi" w:hAnsiTheme="minorHAnsi"/>
      <w:szCs w:val="22"/>
    </w:rPr>
  </w:style>
  <w:style w:type="paragraph" w:customStyle="1" w:styleId="12">
    <w:name w:val="样式4"/>
    <w:basedOn w:val="1"/>
    <w:qFormat/>
    <w:uiPriority w:val="0"/>
    <w:rPr>
      <w:rFonts w:ascii="宋体" w:hAnsi="宋体" w:cs="宋体"/>
      <w:sz w:val="24"/>
      <w:szCs w:val="21"/>
    </w:rPr>
  </w:style>
  <w:style w:type="paragraph" w:customStyle="1" w:styleId="13">
    <w:name w:val="Char1"/>
    <w:basedOn w:val="1"/>
    <w:qFormat/>
    <w:uiPriority w:val="0"/>
    <w:rPr>
      <w:szCs w:val="21"/>
    </w:rPr>
  </w:style>
  <w:style w:type="paragraph" w:styleId="14">
    <w:name w:val="List Paragraph"/>
    <w:basedOn w:val="1"/>
    <w:qFormat/>
    <w:uiPriority w:val="34"/>
    <w:pPr>
      <w:ind w:firstLine="420" w:firstLineChars="200"/>
    </w:pPr>
  </w:style>
  <w:style w:type="paragraph" w:customStyle="1" w:styleId="15">
    <w:name w:val="正文文本1"/>
    <w:basedOn w:val="1"/>
    <w:qFormat/>
    <w:uiPriority w:val="0"/>
    <w:pPr>
      <w:spacing w:line="298" w:lineRule="auto"/>
      <w:jc w:val="left"/>
    </w:pPr>
    <w:rPr>
      <w:rFonts w:ascii="宋体" w:hAnsi="宋体" w:cs="宋体"/>
      <w:sz w:val="40"/>
      <w:szCs w:val="40"/>
      <w:lang w:val="zh-CN" w:bidi="zh-CN"/>
    </w:rPr>
  </w:style>
  <w:style w:type="paragraph" w:customStyle="1" w:styleId="16">
    <w:name w:val="正文文本 (2)"/>
    <w:basedOn w:val="1"/>
    <w:qFormat/>
    <w:uiPriority w:val="0"/>
    <w:pPr>
      <w:spacing w:line="298" w:lineRule="auto"/>
      <w:jc w:val="left"/>
    </w:pPr>
    <w:rPr>
      <w:rFonts w:ascii="Calibri" w:hAnsi="Calibri" w:eastAsia="Calibri" w:cs="Calibri"/>
      <w:sz w:val="40"/>
      <w:szCs w:val="40"/>
      <w:lang w:val="zh-CN" w:bidi="zh-CN"/>
    </w:rPr>
  </w:style>
  <w:style w:type="paragraph" w:customStyle="1" w:styleId="17">
    <w:name w:val="表格"/>
    <w:basedOn w:val="1"/>
    <w:qFormat/>
    <w:uiPriority w:val="0"/>
    <w:pPr>
      <w:spacing w:line="400" w:lineRule="exact"/>
    </w:pPr>
    <w:rPr>
      <w:sz w:val="24"/>
      <w:szCs w:val="24"/>
    </w:rPr>
  </w:style>
  <w:style w:type="paragraph" w:customStyle="1" w:styleId="18">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2910</Words>
  <Characters>3132</Characters>
  <Lines>25</Lines>
  <Paragraphs>7</Paragraphs>
  <TotalTime>12</TotalTime>
  <ScaleCrop>false</ScaleCrop>
  <LinksUpToDate>false</LinksUpToDate>
  <CharactersWithSpaces>3335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2023-03-21T03:16:00Z</dcterms:created>
  <dc:creator>随心而动</dc:creator>
  <cp:lastModifiedBy>梦qiqi</cp:lastModifiedBy>
  <dcterms:modified xsi:type="dcterms:W3CDTF">2023-03-21T09:04:18Z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BAA33620D9F64C2F97115CCEA22760D1</vt:lpwstr>
  </property>
</Properties>
</file>